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D8C" w:rsidRDefault="00A000F7">
      <w:pPr>
        <w:jc w:val="center"/>
        <w:rPr>
          <w:rFonts w:ascii="黑体" w:eastAsia="黑体" w:hAnsi="黑体" w:cs="黑体"/>
          <w:sz w:val="32"/>
          <w:szCs w:val="32"/>
        </w:rPr>
      </w:pPr>
      <w:r>
        <w:rPr>
          <w:rFonts w:ascii="黑体" w:eastAsia="黑体" w:hAnsi="黑体" w:cs="黑体" w:hint="eastAsia"/>
          <w:sz w:val="32"/>
          <w:szCs w:val="32"/>
        </w:rPr>
        <w:t>国华人寿</w:t>
      </w:r>
      <w:r w:rsidR="00781362">
        <w:rPr>
          <w:rFonts w:ascii="黑体" w:eastAsia="黑体" w:hAnsi="黑体" w:cs="黑体" w:hint="eastAsia"/>
          <w:sz w:val="32"/>
          <w:szCs w:val="32"/>
        </w:rPr>
        <w:t>保险</w:t>
      </w:r>
      <w:r w:rsidR="003F2DAD">
        <w:rPr>
          <w:rFonts w:ascii="黑体" w:eastAsia="黑体" w:hAnsi="黑体" w:cs="黑体" w:hint="eastAsia"/>
          <w:sz w:val="32"/>
          <w:szCs w:val="32"/>
        </w:rPr>
        <w:t>公司信息披露</w:t>
      </w:r>
    </w:p>
    <w:p w:rsidR="00BB6D8C" w:rsidRDefault="003F2DAD">
      <w:pPr>
        <w:numPr>
          <w:ilvl w:val="0"/>
          <w:numId w:val="1"/>
        </w:numPr>
        <w:rPr>
          <w:rFonts w:ascii="黑体" w:eastAsia="黑体" w:hAnsi="黑体" w:cs="黑体"/>
          <w:sz w:val="32"/>
          <w:szCs w:val="32"/>
        </w:rPr>
      </w:pPr>
      <w:r>
        <w:rPr>
          <w:rFonts w:ascii="黑体" w:eastAsia="黑体" w:hAnsi="黑体" w:cs="黑体" w:hint="eastAsia"/>
          <w:sz w:val="32"/>
          <w:szCs w:val="32"/>
        </w:rPr>
        <w:t>保险公司简介</w:t>
      </w:r>
    </w:p>
    <w:p w:rsidR="005921C4" w:rsidRPr="005921C4" w:rsidRDefault="005921C4" w:rsidP="005921C4">
      <w:pPr>
        <w:ind w:firstLineChars="200" w:firstLine="640"/>
        <w:rPr>
          <w:rFonts w:ascii="仿宋" w:eastAsia="仿宋" w:hAnsi="仿宋" w:cs="仿宋"/>
          <w:sz w:val="32"/>
          <w:szCs w:val="32"/>
        </w:rPr>
      </w:pPr>
      <w:r w:rsidRPr="005921C4">
        <w:rPr>
          <w:rFonts w:ascii="仿宋" w:eastAsia="仿宋" w:hAnsi="仿宋" w:cs="仿宋" w:hint="eastAsia"/>
          <w:sz w:val="32"/>
          <w:szCs w:val="32"/>
        </w:rPr>
        <w:t>国华人寿保险股份有限公司成立于2007年11月，总部位于上海市地标建筑上海中心大厦，注册地湖北武汉。是由原中国保险监督管理委员会批准设立的全国性、股份制专业寿险公司，目前注册资本为48.46亿元。截至2020年12月底，国华人寿总资产为2327.72亿元，净资产为274.2亿元。</w:t>
      </w:r>
    </w:p>
    <w:p w:rsidR="005921C4" w:rsidRPr="005921C4" w:rsidRDefault="005921C4" w:rsidP="005921C4">
      <w:pPr>
        <w:ind w:firstLineChars="200" w:firstLine="640"/>
        <w:rPr>
          <w:rFonts w:ascii="仿宋" w:eastAsia="仿宋" w:hAnsi="仿宋" w:cs="仿宋"/>
          <w:sz w:val="32"/>
          <w:szCs w:val="32"/>
        </w:rPr>
      </w:pPr>
      <w:r w:rsidRPr="005921C4">
        <w:rPr>
          <w:rFonts w:ascii="仿宋" w:eastAsia="仿宋" w:hAnsi="仿宋" w:cs="仿宋" w:hint="eastAsia"/>
          <w:sz w:val="32"/>
          <w:szCs w:val="32"/>
        </w:rPr>
        <w:t>自成立以来，国华人寿始终科学把握寿险经营规律，合规经营、稳健发展，探索符合自身特色的健康发展之路，形成了以银行保险、互联网为业务主渠道，其他业务渠道作为补充的差异化经营格局，投资管理能力居行业前列。</w:t>
      </w:r>
    </w:p>
    <w:p w:rsidR="005921C4" w:rsidRPr="005921C4" w:rsidRDefault="005921C4" w:rsidP="005921C4">
      <w:pPr>
        <w:ind w:firstLineChars="200" w:firstLine="640"/>
        <w:rPr>
          <w:rFonts w:ascii="仿宋" w:eastAsia="仿宋" w:hAnsi="仿宋" w:cs="仿宋"/>
          <w:sz w:val="32"/>
          <w:szCs w:val="32"/>
        </w:rPr>
      </w:pPr>
      <w:r w:rsidRPr="005921C4">
        <w:rPr>
          <w:rFonts w:ascii="仿宋" w:eastAsia="仿宋" w:hAnsi="仿宋" w:cs="仿宋" w:hint="eastAsia"/>
          <w:sz w:val="32"/>
          <w:szCs w:val="32"/>
        </w:rPr>
        <w:t>国华人寿目前已形成覆盖全国的高效网络布局，已相继在上海、北京、天津、河南、河北、浙江、山东、广东、江苏、湖北、辽宁、重庆、四川、山西、湖南、青岛、深圳、安徽等省市开设了18家省级分公司。未来，国华人寿将在现有网络上继续扩张三、四级机构，深耕已覆盖市场，进一步推动业务发展。</w:t>
      </w:r>
    </w:p>
    <w:p w:rsidR="005921C4" w:rsidRPr="005921C4" w:rsidRDefault="005921C4" w:rsidP="005921C4">
      <w:pPr>
        <w:ind w:firstLineChars="200" w:firstLine="640"/>
        <w:rPr>
          <w:rFonts w:ascii="仿宋" w:eastAsia="仿宋" w:hAnsi="仿宋" w:cs="仿宋"/>
          <w:sz w:val="32"/>
          <w:szCs w:val="32"/>
        </w:rPr>
      </w:pPr>
      <w:r w:rsidRPr="005921C4">
        <w:rPr>
          <w:rFonts w:ascii="仿宋" w:eastAsia="仿宋" w:hAnsi="仿宋" w:cs="仿宋" w:hint="eastAsia"/>
          <w:sz w:val="32"/>
          <w:szCs w:val="32"/>
        </w:rPr>
        <w:t>国华人寿是国内率先进入网络平台，实现跨渠道合作，业内领先的网销寿险公司，曾创下淘宝聚划算平台“三天过亿”、“单团破亿”的骄人业绩，引领保险进入主动消费时代。</w:t>
      </w:r>
    </w:p>
    <w:p w:rsidR="005921C4" w:rsidRPr="005921C4" w:rsidRDefault="005921C4" w:rsidP="005921C4">
      <w:pPr>
        <w:ind w:firstLineChars="200" w:firstLine="640"/>
        <w:rPr>
          <w:rFonts w:ascii="仿宋" w:eastAsia="仿宋" w:hAnsi="仿宋" w:cs="仿宋"/>
          <w:sz w:val="32"/>
          <w:szCs w:val="32"/>
        </w:rPr>
      </w:pPr>
      <w:r w:rsidRPr="005921C4">
        <w:rPr>
          <w:rFonts w:ascii="仿宋" w:eastAsia="仿宋" w:hAnsi="仿宋" w:cs="仿宋" w:hint="eastAsia"/>
          <w:sz w:val="32"/>
          <w:szCs w:val="32"/>
        </w:rPr>
        <w:t>一直以来，公司不断增强各项投资能力建设，并成为行业内首批获得投资全牌照的保险公司。自开业以来，国华人</w:t>
      </w:r>
      <w:r w:rsidRPr="005921C4">
        <w:rPr>
          <w:rFonts w:ascii="仿宋" w:eastAsia="仿宋" w:hAnsi="仿宋" w:cs="仿宋" w:hint="eastAsia"/>
          <w:sz w:val="32"/>
          <w:szCs w:val="32"/>
        </w:rPr>
        <w:lastRenderedPageBreak/>
        <w:t>寿保险投资收益率显著高于寿险行业平均收益率。</w:t>
      </w:r>
    </w:p>
    <w:p w:rsidR="005921C4" w:rsidRPr="005921C4" w:rsidRDefault="005921C4" w:rsidP="005921C4">
      <w:pPr>
        <w:ind w:firstLineChars="200" w:firstLine="640"/>
        <w:rPr>
          <w:rFonts w:ascii="仿宋" w:eastAsia="仿宋" w:hAnsi="仿宋" w:cs="仿宋"/>
          <w:sz w:val="32"/>
          <w:szCs w:val="32"/>
        </w:rPr>
      </w:pPr>
      <w:r w:rsidRPr="005921C4">
        <w:rPr>
          <w:rFonts w:ascii="仿宋" w:eastAsia="仿宋" w:hAnsi="仿宋" w:cs="仿宋" w:hint="eastAsia"/>
          <w:sz w:val="32"/>
          <w:szCs w:val="32"/>
        </w:rPr>
        <w:t>同时，国华人寿始终不忘初心，热心公益，回馈社会，逐步建立国华公益事业长效机制。截至2020年底，国华人寿公益扶贫支出近7000万元。</w:t>
      </w:r>
    </w:p>
    <w:p w:rsidR="00E25001" w:rsidRPr="005921C4" w:rsidRDefault="005921C4" w:rsidP="005921C4">
      <w:pPr>
        <w:ind w:firstLineChars="200" w:firstLine="640"/>
        <w:rPr>
          <w:rFonts w:ascii="仿宋" w:eastAsia="仿宋" w:hAnsi="仿宋" w:cs="仿宋"/>
          <w:sz w:val="32"/>
          <w:szCs w:val="32"/>
        </w:rPr>
      </w:pPr>
      <w:r w:rsidRPr="005921C4">
        <w:rPr>
          <w:rFonts w:ascii="仿宋" w:eastAsia="仿宋" w:hAnsi="仿宋" w:cs="仿宋" w:hint="eastAsia"/>
          <w:sz w:val="32"/>
          <w:szCs w:val="32"/>
        </w:rPr>
        <w:t>未来, 国华人寿将抓住保险经营以及资本运作两条主线，打好资本运作，转型发展以及提高资产配置质量的三大攻坚战，全面提升战略管理能力、资产管理能力、负债销售能力等十大能力，遵循规模适度、结构合理、品质优良、管理现代、创新持续、效益突出、品牌卓著的发展目标，努力向成熟险企扎实前进。</w:t>
      </w:r>
    </w:p>
    <w:p w:rsidR="006164AD" w:rsidRPr="006164AD" w:rsidRDefault="003F2DAD" w:rsidP="006164AD">
      <w:pPr>
        <w:numPr>
          <w:ilvl w:val="0"/>
          <w:numId w:val="1"/>
        </w:numPr>
        <w:rPr>
          <w:rFonts w:ascii="黑体" w:eastAsia="黑体" w:hAnsi="黑体" w:cs="黑体"/>
          <w:sz w:val="32"/>
          <w:szCs w:val="32"/>
        </w:rPr>
      </w:pPr>
      <w:r w:rsidRPr="006164AD">
        <w:rPr>
          <w:rFonts w:ascii="黑体" w:eastAsia="黑体" w:hAnsi="黑体" w:cs="黑体" w:hint="eastAsia"/>
          <w:sz w:val="32"/>
          <w:szCs w:val="32"/>
        </w:rPr>
        <w:t>合作起</w:t>
      </w:r>
      <w:r w:rsidR="007F5048">
        <w:rPr>
          <w:rFonts w:ascii="黑体" w:eastAsia="黑体" w:hAnsi="黑体" w:cs="黑体" w:hint="eastAsia"/>
          <w:sz w:val="32"/>
          <w:szCs w:val="32"/>
        </w:rPr>
        <w:t>止</w:t>
      </w:r>
      <w:r w:rsidRPr="006164AD">
        <w:rPr>
          <w:rFonts w:ascii="黑体" w:eastAsia="黑体" w:hAnsi="黑体" w:cs="黑体" w:hint="eastAsia"/>
          <w:sz w:val="32"/>
          <w:szCs w:val="32"/>
        </w:rPr>
        <w:t>时间</w:t>
      </w:r>
    </w:p>
    <w:p w:rsidR="00E25001" w:rsidRDefault="007F5048">
      <w:pPr>
        <w:rPr>
          <w:rFonts w:ascii="仿宋" w:eastAsia="仿宋" w:hAnsi="仿宋" w:cs="仿宋"/>
          <w:sz w:val="32"/>
          <w:szCs w:val="32"/>
        </w:rPr>
      </w:pPr>
      <w:r w:rsidRPr="002729FE">
        <w:rPr>
          <w:rFonts w:asciiTheme="minorEastAsia" w:hAnsiTheme="minorEastAsia" w:cstheme="minorEastAsia" w:hint="eastAsia"/>
          <w:sz w:val="28"/>
          <w:szCs w:val="28"/>
        </w:rPr>
        <w:t>合作期限以我行与保险公司签订的《保险兼业代理合同》期限为准，本次合作有效期至2021年</w:t>
      </w:r>
      <w:r w:rsidR="00C73CFB">
        <w:rPr>
          <w:rFonts w:asciiTheme="minorEastAsia" w:hAnsiTheme="minorEastAsia" w:cstheme="minorEastAsia"/>
          <w:sz w:val="28"/>
          <w:szCs w:val="28"/>
        </w:rPr>
        <w:t>8</w:t>
      </w:r>
      <w:r w:rsidRPr="002729FE">
        <w:rPr>
          <w:rFonts w:asciiTheme="minorEastAsia" w:hAnsiTheme="minorEastAsia" w:cstheme="minorEastAsia" w:hint="eastAsia"/>
          <w:sz w:val="28"/>
          <w:szCs w:val="28"/>
        </w:rPr>
        <w:t>月31日。</w:t>
      </w:r>
    </w:p>
    <w:p w:rsidR="006164AD" w:rsidRPr="006164AD" w:rsidRDefault="003F2DAD" w:rsidP="006164AD">
      <w:pPr>
        <w:numPr>
          <w:ilvl w:val="0"/>
          <w:numId w:val="1"/>
        </w:numPr>
        <w:rPr>
          <w:rFonts w:ascii="黑体" w:eastAsia="黑体" w:hAnsi="黑体" w:cs="黑体"/>
          <w:sz w:val="32"/>
          <w:szCs w:val="32"/>
        </w:rPr>
      </w:pPr>
      <w:r w:rsidRPr="006164AD">
        <w:rPr>
          <w:rFonts w:ascii="黑体" w:eastAsia="黑体" w:hAnsi="黑体" w:cs="黑体" w:hint="eastAsia"/>
          <w:sz w:val="32"/>
          <w:szCs w:val="32"/>
        </w:rPr>
        <w:t>合作范围</w:t>
      </w:r>
    </w:p>
    <w:p w:rsidR="00A000F7" w:rsidRPr="00A000F7" w:rsidRDefault="00A000F7" w:rsidP="00A000F7">
      <w:pPr>
        <w:rPr>
          <w:rFonts w:ascii="仿宋" w:eastAsia="仿宋" w:hAnsi="仿宋" w:cs="仿宋"/>
          <w:sz w:val="32"/>
          <w:szCs w:val="32"/>
        </w:rPr>
      </w:pPr>
      <w:r w:rsidRPr="00A000F7">
        <w:rPr>
          <w:rFonts w:ascii="仿宋" w:eastAsia="仿宋" w:hAnsi="仿宋" w:cs="仿宋" w:hint="eastAsia"/>
          <w:sz w:val="32"/>
          <w:szCs w:val="32"/>
        </w:rPr>
        <w:t>人寿保险、健康保险、意外伤害保险等各类人身保险业务；上述业务的再保险业务；国家法律、法规允许的保险资金运用业务； 经中国保监会批准的其他业务（涉及行政许可的凭许可证经营）</w:t>
      </w:r>
    </w:p>
    <w:p w:rsidR="00070FB9" w:rsidRPr="00A000F7" w:rsidRDefault="00070FB9" w:rsidP="006164AD">
      <w:pPr>
        <w:rPr>
          <w:rFonts w:ascii="仿宋" w:eastAsia="仿宋" w:hAnsi="仿宋" w:cs="仿宋"/>
          <w:sz w:val="32"/>
          <w:szCs w:val="32"/>
        </w:rPr>
      </w:pPr>
    </w:p>
    <w:p w:rsidR="00070FB9" w:rsidRPr="00070FB9" w:rsidRDefault="00070FB9" w:rsidP="00070FB9">
      <w:pPr>
        <w:numPr>
          <w:ilvl w:val="0"/>
          <w:numId w:val="1"/>
        </w:numPr>
        <w:rPr>
          <w:rFonts w:ascii="黑体" w:eastAsia="黑体" w:hAnsi="黑体" w:cs="黑体"/>
          <w:sz w:val="32"/>
          <w:szCs w:val="32"/>
        </w:rPr>
      </w:pPr>
      <w:r w:rsidRPr="00070FB9">
        <w:rPr>
          <w:rFonts w:ascii="黑体" w:eastAsia="黑体" w:hAnsi="黑体" w:cs="黑体" w:hint="eastAsia"/>
          <w:sz w:val="32"/>
          <w:szCs w:val="32"/>
        </w:rPr>
        <w:t>公司偿付能力相关信息披露</w:t>
      </w:r>
    </w:p>
    <w:p w:rsidR="00070FB9" w:rsidRDefault="00070FB9" w:rsidP="00070FB9">
      <w:pPr>
        <w:pStyle w:val="a7"/>
        <w:spacing w:line="0" w:lineRule="atLeast"/>
        <w:ind w:left="420" w:firstLineChars="0" w:firstLine="0"/>
        <w:rPr>
          <w:sz w:val="28"/>
          <w:szCs w:val="28"/>
        </w:rPr>
      </w:pPr>
      <w:r>
        <w:rPr>
          <w:rFonts w:hint="eastAsia"/>
          <w:sz w:val="28"/>
          <w:szCs w:val="28"/>
        </w:rPr>
        <w:t>（包括但不限于</w:t>
      </w:r>
      <w:r w:rsidRPr="00210E46">
        <w:rPr>
          <w:rFonts w:hint="eastAsia"/>
          <w:sz w:val="28"/>
          <w:szCs w:val="28"/>
        </w:rPr>
        <w:t>一年来综合偿付能力充足率、风险综合评级、消费者权益保护监管评价</w:t>
      </w:r>
      <w:r>
        <w:rPr>
          <w:rFonts w:hint="eastAsia"/>
          <w:sz w:val="28"/>
          <w:szCs w:val="28"/>
        </w:rPr>
        <w:t>。）</w:t>
      </w:r>
    </w:p>
    <w:p w:rsidR="00070FB9" w:rsidRPr="005921C4" w:rsidRDefault="005921C4" w:rsidP="005921C4">
      <w:pPr>
        <w:pStyle w:val="a7"/>
        <w:ind w:left="420" w:firstLineChars="0" w:firstLine="0"/>
        <w:rPr>
          <w:rFonts w:ascii="仿宋" w:eastAsia="仿宋" w:hAnsi="仿宋" w:cs="仿宋"/>
          <w:sz w:val="32"/>
          <w:szCs w:val="32"/>
        </w:rPr>
      </w:pPr>
      <w:r w:rsidRPr="005921C4">
        <w:rPr>
          <w:rFonts w:ascii="仿宋" w:eastAsia="仿宋" w:hAnsi="仿宋" w:cs="仿宋" w:hint="eastAsia"/>
          <w:sz w:val="32"/>
          <w:szCs w:val="32"/>
        </w:rPr>
        <w:t>截至2021年第1季度末，国华人寿保险股份有限公司最</w:t>
      </w:r>
      <w:r w:rsidRPr="005921C4">
        <w:rPr>
          <w:rFonts w:ascii="仿宋" w:eastAsia="仿宋" w:hAnsi="仿宋" w:cs="仿宋" w:hint="eastAsia"/>
          <w:sz w:val="32"/>
          <w:szCs w:val="32"/>
        </w:rPr>
        <w:lastRenderedPageBreak/>
        <w:t>新一期的综合偿付能力充足率为162.82%、风险综合评级结果为A，其中，综合偿付能力充足率已达到中国银行保险监督管理委员会监管要求</w:t>
      </w:r>
    </w:p>
    <w:p w:rsidR="00070FB9" w:rsidRPr="007C0CC8" w:rsidRDefault="00070FB9" w:rsidP="00070FB9">
      <w:pPr>
        <w:pStyle w:val="a7"/>
        <w:spacing w:line="0" w:lineRule="atLeast"/>
        <w:ind w:left="420" w:firstLineChars="0" w:firstLine="0"/>
        <w:rPr>
          <w:sz w:val="28"/>
          <w:szCs w:val="28"/>
        </w:rPr>
      </w:pPr>
    </w:p>
    <w:p w:rsidR="00070FB9" w:rsidRPr="00070FB9" w:rsidRDefault="00070FB9" w:rsidP="00070FB9">
      <w:pPr>
        <w:numPr>
          <w:ilvl w:val="0"/>
          <w:numId w:val="1"/>
        </w:numPr>
        <w:rPr>
          <w:rFonts w:ascii="黑体" w:eastAsia="黑体" w:hAnsi="黑体" w:cs="黑体"/>
          <w:sz w:val="32"/>
          <w:szCs w:val="32"/>
        </w:rPr>
      </w:pPr>
      <w:r w:rsidRPr="00070FB9">
        <w:rPr>
          <w:rFonts w:ascii="黑体" w:eastAsia="黑体" w:hAnsi="黑体" w:cs="黑体" w:hint="eastAsia"/>
          <w:sz w:val="32"/>
          <w:szCs w:val="32"/>
        </w:rPr>
        <w:t>互联网保险产品及保单的查询和验真途径</w:t>
      </w:r>
    </w:p>
    <w:p w:rsidR="00A000F7" w:rsidRPr="00A000F7" w:rsidRDefault="00A000F7" w:rsidP="00A000F7">
      <w:pPr>
        <w:rPr>
          <w:rFonts w:ascii="仿宋" w:eastAsia="仿宋" w:hAnsi="仿宋" w:cs="仿宋"/>
          <w:sz w:val="32"/>
          <w:szCs w:val="32"/>
        </w:rPr>
      </w:pPr>
      <w:r w:rsidRPr="00A000F7">
        <w:rPr>
          <w:rFonts w:ascii="仿宋" w:eastAsia="仿宋" w:hAnsi="仿宋" w:cs="仿宋"/>
          <w:sz w:val="32"/>
          <w:szCs w:val="32"/>
        </w:rPr>
        <w:t>保单查询和验真途径</w:t>
      </w:r>
      <w:r w:rsidRPr="00A000F7">
        <w:rPr>
          <w:rFonts w:ascii="仿宋" w:eastAsia="仿宋" w:hAnsi="仿宋" w:cs="仿宋" w:hint="eastAsia"/>
          <w:sz w:val="32"/>
          <w:szCs w:val="32"/>
        </w:rPr>
        <w:t>：登陆官网在个人中心——我的保单中查询</w:t>
      </w:r>
    </w:p>
    <w:p w:rsidR="00070FB9" w:rsidRPr="00A000F7" w:rsidRDefault="00070FB9" w:rsidP="00070FB9">
      <w:pPr>
        <w:rPr>
          <w:rFonts w:ascii="黑体" w:eastAsia="黑体" w:hAnsi="黑体" w:cs="黑体"/>
          <w:sz w:val="32"/>
          <w:szCs w:val="32"/>
        </w:rPr>
      </w:pPr>
    </w:p>
    <w:p w:rsidR="00E25001" w:rsidRPr="00070FB9" w:rsidRDefault="00070FB9" w:rsidP="00070FB9">
      <w:pPr>
        <w:numPr>
          <w:ilvl w:val="0"/>
          <w:numId w:val="1"/>
        </w:numPr>
        <w:rPr>
          <w:rFonts w:ascii="黑体" w:eastAsia="黑体" w:hAnsi="黑体" w:cs="黑体"/>
          <w:sz w:val="32"/>
          <w:szCs w:val="32"/>
        </w:rPr>
      </w:pPr>
      <w:r w:rsidRPr="00070FB9">
        <w:rPr>
          <w:rFonts w:ascii="黑体" w:eastAsia="黑体" w:hAnsi="黑体" w:cs="黑体" w:hint="eastAsia"/>
          <w:sz w:val="32"/>
          <w:szCs w:val="32"/>
        </w:rPr>
        <w:t>省级分支机构和落地服务机构的名称、办公地址、电话号码等</w:t>
      </w:r>
    </w:p>
    <w:p w:rsidR="00A000F7" w:rsidRPr="00A000F7" w:rsidRDefault="00A000F7" w:rsidP="00A000F7">
      <w:pPr>
        <w:rPr>
          <w:rFonts w:ascii="仿宋" w:eastAsia="仿宋" w:hAnsi="仿宋" w:cs="仿宋"/>
          <w:sz w:val="32"/>
          <w:szCs w:val="32"/>
        </w:rPr>
      </w:pPr>
      <w:r w:rsidRPr="00A000F7">
        <w:rPr>
          <w:rFonts w:ascii="仿宋" w:eastAsia="仿宋" w:hAnsi="仿宋" w:cs="仿宋"/>
          <w:sz w:val="32"/>
          <w:szCs w:val="32"/>
        </w:rPr>
        <w:t>省级分支机构</w:t>
      </w:r>
      <w:r w:rsidRPr="00A000F7">
        <w:rPr>
          <w:rFonts w:ascii="仿宋" w:eastAsia="仿宋" w:hAnsi="仿宋" w:cs="仿宋" w:hint="eastAsia"/>
          <w:sz w:val="32"/>
          <w:szCs w:val="32"/>
        </w:rPr>
        <w:t>：国华人寿保险股份有限公司广东分公司，地址：广东省广州市海珠区新港东路618号南丰汇大厦801室，电话:020-29193968</w:t>
      </w:r>
    </w:p>
    <w:p w:rsidR="00A000F7" w:rsidRPr="00C04710" w:rsidRDefault="00A000F7" w:rsidP="00C04710">
      <w:pPr>
        <w:rPr>
          <w:rFonts w:ascii="仿宋" w:eastAsia="仿宋" w:hAnsi="仿宋" w:cs="仿宋"/>
          <w:sz w:val="32"/>
          <w:szCs w:val="32"/>
        </w:rPr>
      </w:pPr>
      <w:r w:rsidRPr="00C04710">
        <w:rPr>
          <w:rFonts w:ascii="仿宋" w:eastAsia="仿宋" w:hAnsi="仿宋" w:cs="仿宋"/>
          <w:sz w:val="32"/>
          <w:szCs w:val="32"/>
        </w:rPr>
        <w:t>落地服务机构</w:t>
      </w:r>
      <w:r w:rsidRPr="00C04710">
        <w:rPr>
          <w:rFonts w:ascii="仿宋" w:eastAsia="仿宋" w:hAnsi="仿宋" w:cs="仿宋" w:hint="eastAsia"/>
          <w:sz w:val="32"/>
          <w:szCs w:val="32"/>
        </w:rPr>
        <w:t>：国华人寿保险股份有限公司广东分公司东莞中心支公司，地址：东莞市东城区东莞大道11号台商大厦副楼10层1004，电话：0769-2313016</w:t>
      </w:r>
    </w:p>
    <w:p w:rsidR="00070FB9" w:rsidRPr="00A000F7" w:rsidRDefault="00070FB9" w:rsidP="00070FB9">
      <w:pPr>
        <w:rPr>
          <w:rFonts w:ascii="黑体" w:eastAsia="黑体" w:hAnsi="黑体" w:cs="黑体"/>
          <w:sz w:val="32"/>
          <w:szCs w:val="32"/>
        </w:rPr>
      </w:pPr>
    </w:p>
    <w:p w:rsidR="00E25001" w:rsidRPr="00070FB9" w:rsidRDefault="00070FB9" w:rsidP="00070FB9">
      <w:pPr>
        <w:numPr>
          <w:ilvl w:val="0"/>
          <w:numId w:val="1"/>
        </w:numPr>
        <w:rPr>
          <w:rFonts w:ascii="黑体" w:eastAsia="黑体" w:hAnsi="黑体" w:cs="黑体"/>
          <w:sz w:val="32"/>
          <w:szCs w:val="32"/>
        </w:rPr>
      </w:pPr>
      <w:r w:rsidRPr="00070FB9">
        <w:rPr>
          <w:rFonts w:ascii="黑体" w:eastAsia="黑体" w:hAnsi="黑体" w:cs="黑体" w:hint="eastAsia"/>
          <w:sz w:val="32"/>
          <w:szCs w:val="32"/>
        </w:rPr>
        <w:t>针对消费者个人信息、投保交易信息和交易安全的保障措施</w:t>
      </w:r>
    </w:p>
    <w:p w:rsidR="00494179" w:rsidRPr="00C04710" w:rsidRDefault="00C04710" w:rsidP="00C04710">
      <w:pPr>
        <w:rPr>
          <w:rFonts w:ascii="仿宋" w:eastAsia="仿宋" w:hAnsi="仿宋" w:cs="仿宋"/>
          <w:sz w:val="32"/>
          <w:szCs w:val="32"/>
        </w:rPr>
      </w:pPr>
      <w:r w:rsidRPr="00C04710">
        <w:rPr>
          <w:rFonts w:ascii="仿宋" w:eastAsia="仿宋" w:hAnsi="仿宋" w:cs="仿宋" w:hint="eastAsia"/>
          <w:sz w:val="32"/>
          <w:szCs w:val="32"/>
        </w:rPr>
        <w:t>如果您发现销售人员在保险销售过程中存在误导销售行为，或认为自身权益受到侵犯，请注意保留书面证据或其他证据，可向保险公司反映；也可以向当地银保监局（或保险行业协</w:t>
      </w:r>
      <w:r w:rsidRPr="00C04710">
        <w:rPr>
          <w:rFonts w:ascii="仿宋" w:eastAsia="仿宋" w:hAnsi="仿宋" w:cs="仿宋" w:hint="eastAsia"/>
          <w:sz w:val="32"/>
          <w:szCs w:val="32"/>
        </w:rPr>
        <w:lastRenderedPageBreak/>
        <w:t>会）投诉（当地银保监局或保险行业协会投诉电话请您登录相关网站查询）；必要时还可以根据合同约定，申请仲裁或向法院起诉。</w:t>
      </w:r>
    </w:p>
    <w:p w:rsidR="00E25001" w:rsidRDefault="00070FB9" w:rsidP="00070FB9">
      <w:pPr>
        <w:numPr>
          <w:ilvl w:val="0"/>
          <w:numId w:val="1"/>
        </w:numPr>
        <w:rPr>
          <w:rFonts w:ascii="黑体" w:eastAsia="黑体" w:hAnsi="黑体" w:cs="黑体"/>
          <w:sz w:val="32"/>
          <w:szCs w:val="32"/>
        </w:rPr>
      </w:pPr>
      <w:r w:rsidRPr="00070FB9">
        <w:rPr>
          <w:rFonts w:ascii="黑体" w:eastAsia="黑体" w:hAnsi="黑体" w:cs="黑体" w:hint="eastAsia"/>
          <w:sz w:val="32"/>
          <w:szCs w:val="32"/>
        </w:rPr>
        <w:t>理赔、保全、投诉等客户服务</w:t>
      </w:r>
    </w:p>
    <w:p w:rsidR="00070FB9" w:rsidRPr="00070FB9" w:rsidRDefault="00070FB9" w:rsidP="00070FB9">
      <w:pPr>
        <w:pStyle w:val="a7"/>
        <w:spacing w:line="0" w:lineRule="atLeast"/>
        <w:ind w:left="420" w:firstLineChars="0" w:firstLine="0"/>
        <w:rPr>
          <w:sz w:val="28"/>
          <w:szCs w:val="28"/>
        </w:rPr>
      </w:pPr>
      <w:r>
        <w:rPr>
          <w:rFonts w:hint="eastAsia"/>
          <w:sz w:val="28"/>
          <w:szCs w:val="28"/>
        </w:rPr>
        <w:t>（</w:t>
      </w:r>
      <w:r w:rsidRPr="00070FB9">
        <w:rPr>
          <w:rFonts w:hint="eastAsia"/>
          <w:sz w:val="28"/>
          <w:szCs w:val="28"/>
        </w:rPr>
        <w:t>包括但不限于全国统一的客户服务及投诉方式，包括客服电话、在线服务访问方式、理赔争议处理机制和工作流程等。</w:t>
      </w:r>
      <w:r>
        <w:rPr>
          <w:rFonts w:hint="eastAsia"/>
          <w:sz w:val="28"/>
          <w:szCs w:val="28"/>
        </w:rPr>
        <w:t>）</w:t>
      </w:r>
    </w:p>
    <w:p w:rsidR="00494179" w:rsidRDefault="00494179" w:rsidP="00494179">
      <w:pPr>
        <w:rPr>
          <w:rFonts w:ascii="仿宋" w:eastAsia="仿宋" w:hAnsi="仿宋" w:cs="仿宋"/>
          <w:sz w:val="32"/>
          <w:szCs w:val="32"/>
        </w:rPr>
      </w:pPr>
      <w:r>
        <w:rPr>
          <w:rFonts w:ascii="仿宋" w:eastAsia="仿宋" w:hAnsi="仿宋" w:cs="仿宋"/>
          <w:sz w:val="32"/>
          <w:szCs w:val="32"/>
        </w:rPr>
        <w:t>客户电话</w:t>
      </w:r>
      <w:r>
        <w:rPr>
          <w:rFonts w:ascii="仿宋" w:eastAsia="仿宋" w:hAnsi="仿宋" w:cs="仿宋" w:hint="eastAsia"/>
          <w:sz w:val="32"/>
          <w:szCs w:val="32"/>
        </w:rPr>
        <w:t>：9</w:t>
      </w:r>
      <w:r>
        <w:rPr>
          <w:rFonts w:ascii="仿宋" w:eastAsia="仿宋" w:hAnsi="仿宋" w:cs="仿宋"/>
          <w:sz w:val="32"/>
          <w:szCs w:val="32"/>
        </w:rPr>
        <w:t>5549</w:t>
      </w:r>
    </w:p>
    <w:p w:rsidR="00494179" w:rsidRDefault="00494179" w:rsidP="00494179">
      <w:pPr>
        <w:rPr>
          <w:rFonts w:ascii="仿宋" w:eastAsia="仿宋" w:hAnsi="仿宋" w:cs="仿宋"/>
          <w:sz w:val="32"/>
          <w:szCs w:val="32"/>
        </w:rPr>
      </w:pPr>
      <w:r>
        <w:rPr>
          <w:rFonts w:ascii="仿宋" w:eastAsia="仿宋" w:hAnsi="仿宋" w:cs="仿宋" w:hint="eastAsia"/>
          <w:sz w:val="32"/>
          <w:szCs w:val="32"/>
        </w:rPr>
        <w:t>在线服务：官方微信V</w:t>
      </w:r>
      <w:r>
        <w:rPr>
          <w:rFonts w:ascii="仿宋" w:eastAsia="仿宋" w:hAnsi="仿宋" w:cs="仿宋"/>
          <w:sz w:val="32"/>
          <w:szCs w:val="32"/>
        </w:rPr>
        <w:t>95549  官方网站</w:t>
      </w:r>
    </w:p>
    <w:p w:rsidR="00494179" w:rsidRPr="00494179" w:rsidRDefault="00494179" w:rsidP="00494179">
      <w:pPr>
        <w:rPr>
          <w:rFonts w:ascii="仿宋" w:eastAsia="仿宋" w:hAnsi="仿宋" w:cs="仿宋"/>
          <w:sz w:val="32"/>
          <w:szCs w:val="32"/>
        </w:rPr>
      </w:pPr>
      <w:r w:rsidRPr="00494179">
        <w:rPr>
          <w:rFonts w:ascii="仿宋" w:eastAsia="仿宋" w:hAnsi="仿宋" w:cs="仿宋"/>
          <w:sz w:val="32"/>
          <w:szCs w:val="32"/>
        </w:rPr>
        <w:t>理赔争议处理机制</w:t>
      </w:r>
      <w:r w:rsidRPr="00494179">
        <w:rPr>
          <w:rFonts w:ascii="仿宋" w:eastAsia="仿宋" w:hAnsi="仿宋" w:cs="仿宋" w:hint="eastAsia"/>
          <w:sz w:val="32"/>
          <w:szCs w:val="32"/>
        </w:rPr>
        <w:t>：合同争议解决方式由当事人在合同约定时从下列两种方式中选择一种：</w:t>
      </w:r>
    </w:p>
    <w:p w:rsidR="00494179" w:rsidRPr="00494179" w:rsidRDefault="00494179" w:rsidP="00494179">
      <w:pPr>
        <w:pStyle w:val="a7"/>
        <w:numPr>
          <w:ilvl w:val="0"/>
          <w:numId w:val="3"/>
        </w:numPr>
        <w:ind w:firstLineChars="0"/>
        <w:rPr>
          <w:rFonts w:ascii="仿宋" w:eastAsia="仿宋" w:hAnsi="仿宋" w:cs="仿宋"/>
          <w:sz w:val="32"/>
          <w:szCs w:val="32"/>
        </w:rPr>
      </w:pPr>
      <w:r w:rsidRPr="00494179">
        <w:rPr>
          <w:rFonts w:ascii="仿宋" w:eastAsia="仿宋" w:hAnsi="仿宋" w:cs="仿宋" w:hint="eastAsia"/>
          <w:sz w:val="32"/>
          <w:szCs w:val="32"/>
        </w:rPr>
        <w:t>因履行本合同发生的争议，由当事人协商解决，协商不成的，提交</w:t>
      </w:r>
      <w:bookmarkStart w:id="0" w:name="_GoBack"/>
      <w:bookmarkEnd w:id="0"/>
      <w:r w:rsidRPr="00494179">
        <w:rPr>
          <w:rFonts w:ascii="仿宋" w:eastAsia="仿宋" w:hAnsi="仿宋" w:cs="仿宋" w:hint="eastAsia"/>
          <w:sz w:val="32"/>
          <w:szCs w:val="32"/>
        </w:rPr>
        <w:t>仲裁委员会仲裁；</w:t>
      </w:r>
    </w:p>
    <w:p w:rsidR="00494179" w:rsidRPr="00494179" w:rsidRDefault="00494179" w:rsidP="00494179">
      <w:pPr>
        <w:rPr>
          <w:rFonts w:ascii="仿宋" w:eastAsia="仿宋" w:hAnsi="仿宋" w:cs="仿宋"/>
          <w:sz w:val="32"/>
          <w:szCs w:val="32"/>
        </w:rPr>
      </w:pPr>
      <w:r w:rsidRPr="00494179">
        <w:rPr>
          <w:rFonts w:ascii="仿宋" w:eastAsia="仿宋" w:hAnsi="仿宋" w:cs="仿宋" w:hint="eastAsia"/>
          <w:sz w:val="32"/>
          <w:szCs w:val="32"/>
        </w:rPr>
        <w:t>（2）因履行本合同发生的争议，由当事人协商解决，协商不成的，依法向被告住所地人民法院起诉。投诉处理时效：</w:t>
      </w:r>
    </w:p>
    <w:p w:rsidR="00494179" w:rsidRPr="00494179" w:rsidRDefault="00494179" w:rsidP="00494179">
      <w:pPr>
        <w:rPr>
          <w:rFonts w:ascii="仿宋" w:eastAsia="仿宋" w:hAnsi="仿宋" w:cs="仿宋"/>
          <w:sz w:val="32"/>
          <w:szCs w:val="32"/>
        </w:rPr>
      </w:pPr>
      <w:r w:rsidRPr="00494179">
        <w:rPr>
          <w:rFonts w:ascii="仿宋" w:eastAsia="仿宋" w:hAnsi="仿宋" w:cs="仿宋" w:hint="eastAsia"/>
          <w:sz w:val="32"/>
          <w:szCs w:val="32"/>
        </w:rPr>
        <w:t>一般投诉案件处理时效为5-10个工作日，最长不超过30日。若案件情况复杂，需要延长处理时间的，将提前告知客户。</w:t>
      </w:r>
    </w:p>
    <w:p w:rsidR="00070FB9" w:rsidRDefault="00070FB9" w:rsidP="00070FB9">
      <w:pPr>
        <w:rPr>
          <w:rFonts w:ascii="黑体" w:eastAsia="黑体" w:hAnsi="黑体" w:cs="黑体"/>
          <w:sz w:val="32"/>
          <w:szCs w:val="32"/>
        </w:rPr>
      </w:pPr>
    </w:p>
    <w:p w:rsidR="00C04710" w:rsidRDefault="00C04710" w:rsidP="00070FB9">
      <w:pPr>
        <w:rPr>
          <w:rFonts w:ascii="黑体" w:eastAsia="黑体" w:hAnsi="黑体" w:cs="黑体"/>
          <w:sz w:val="32"/>
          <w:szCs w:val="32"/>
        </w:rPr>
      </w:pPr>
    </w:p>
    <w:p w:rsidR="00C04710" w:rsidRDefault="00C04710" w:rsidP="00070FB9">
      <w:pPr>
        <w:rPr>
          <w:rFonts w:ascii="黑体" w:eastAsia="黑体" w:hAnsi="黑体" w:cs="黑体"/>
          <w:sz w:val="32"/>
          <w:szCs w:val="32"/>
        </w:rPr>
      </w:pPr>
    </w:p>
    <w:p w:rsidR="00C04710" w:rsidRDefault="00C04710" w:rsidP="00070FB9">
      <w:pPr>
        <w:rPr>
          <w:rFonts w:ascii="黑体" w:eastAsia="黑体" w:hAnsi="黑体" w:cs="黑体"/>
          <w:sz w:val="32"/>
          <w:szCs w:val="32"/>
        </w:rPr>
      </w:pPr>
    </w:p>
    <w:p w:rsidR="00C04710" w:rsidRDefault="00C04710" w:rsidP="00070FB9">
      <w:pPr>
        <w:rPr>
          <w:rFonts w:ascii="黑体" w:eastAsia="黑体" w:hAnsi="黑体" w:cs="黑体"/>
          <w:sz w:val="32"/>
          <w:szCs w:val="32"/>
        </w:rPr>
      </w:pPr>
    </w:p>
    <w:p w:rsidR="00C04710" w:rsidRDefault="00C04710" w:rsidP="00070FB9">
      <w:pPr>
        <w:rPr>
          <w:rFonts w:ascii="黑体" w:eastAsia="黑体" w:hAnsi="黑体" w:cs="黑体"/>
          <w:sz w:val="32"/>
          <w:szCs w:val="32"/>
        </w:rPr>
      </w:pPr>
    </w:p>
    <w:p w:rsidR="00C04710" w:rsidRDefault="00C04710" w:rsidP="00070FB9">
      <w:pPr>
        <w:rPr>
          <w:rFonts w:ascii="黑体" w:eastAsia="黑体" w:hAnsi="黑体" w:cs="黑体"/>
          <w:sz w:val="32"/>
          <w:szCs w:val="32"/>
        </w:rPr>
      </w:pPr>
    </w:p>
    <w:p w:rsidR="00C04710" w:rsidRDefault="00C04710" w:rsidP="00070FB9">
      <w:pPr>
        <w:rPr>
          <w:rFonts w:ascii="黑体" w:eastAsia="黑体" w:hAnsi="黑体" w:cs="黑体"/>
          <w:sz w:val="32"/>
          <w:szCs w:val="32"/>
        </w:rPr>
      </w:pPr>
    </w:p>
    <w:p w:rsidR="00C04710" w:rsidRPr="00494179" w:rsidRDefault="00C04710" w:rsidP="00070FB9">
      <w:pPr>
        <w:rPr>
          <w:rFonts w:ascii="黑体" w:eastAsia="黑体" w:hAnsi="黑体" w:cs="黑体"/>
          <w:sz w:val="32"/>
          <w:szCs w:val="32"/>
        </w:rPr>
      </w:pPr>
      <w:r>
        <w:rPr>
          <w:noProof/>
        </w:rPr>
        <w:drawing>
          <wp:anchor distT="0" distB="0" distL="114300" distR="114300" simplePos="0" relativeHeight="251659264" behindDoc="1" locked="0" layoutInCell="1" allowOverlap="1" wp14:anchorId="1F580C5D" wp14:editId="0FDF0230">
            <wp:simplePos x="0" y="0"/>
            <wp:positionH relativeFrom="column">
              <wp:posOffset>590550</wp:posOffset>
            </wp:positionH>
            <wp:positionV relativeFrom="paragraph">
              <wp:posOffset>323850</wp:posOffset>
            </wp:positionV>
            <wp:extent cx="4083050" cy="7835900"/>
            <wp:effectExtent l="0" t="0" r="0" b="0"/>
            <wp:wrapTight wrapText="bothSides">
              <wp:wrapPolygon edited="0">
                <wp:start x="6147" y="473"/>
                <wp:lineTo x="5744" y="735"/>
                <wp:lineTo x="5341" y="1155"/>
                <wp:lineTo x="5341" y="1733"/>
                <wp:lineTo x="6954" y="2258"/>
                <wp:lineTo x="7861" y="2258"/>
                <wp:lineTo x="7659" y="3098"/>
                <wp:lineTo x="5543" y="3466"/>
                <wp:lineTo x="5341" y="3571"/>
                <wp:lineTo x="5341" y="5094"/>
                <wp:lineTo x="6954" y="5619"/>
                <wp:lineTo x="7861" y="5619"/>
                <wp:lineTo x="7357" y="6459"/>
                <wp:lineTo x="5341" y="7142"/>
                <wp:lineTo x="5644" y="7299"/>
                <wp:lineTo x="7760" y="8139"/>
                <wp:lineTo x="7558" y="8980"/>
                <wp:lineTo x="5341" y="9820"/>
                <wp:lineTo x="907" y="10555"/>
                <wp:lineTo x="705" y="14021"/>
                <wp:lineTo x="907" y="17014"/>
                <wp:lineTo x="3426" y="17382"/>
                <wp:lineTo x="6450" y="17382"/>
                <wp:lineTo x="7558" y="18222"/>
                <wp:lineTo x="7760" y="19062"/>
                <wp:lineTo x="5946" y="19587"/>
                <wp:lineTo x="5442" y="19797"/>
                <wp:lineTo x="5442" y="20112"/>
                <wp:lineTo x="5543" y="20742"/>
                <wp:lineTo x="6047" y="20952"/>
                <wp:lineTo x="6147" y="21057"/>
                <wp:lineTo x="10179" y="21057"/>
                <wp:lineTo x="10279" y="20952"/>
                <wp:lineTo x="10783" y="20742"/>
                <wp:lineTo x="10884" y="19797"/>
                <wp:lineTo x="9876" y="19429"/>
                <wp:lineTo x="8465" y="19062"/>
                <wp:lineTo x="8768" y="18222"/>
                <wp:lineTo x="9876" y="17382"/>
                <wp:lineTo x="10682" y="17119"/>
                <wp:lineTo x="10682" y="16961"/>
                <wp:lineTo x="9675" y="16541"/>
                <wp:lineTo x="8566" y="15701"/>
                <wp:lineTo x="8365" y="14861"/>
                <wp:lineTo x="9876" y="14861"/>
                <wp:lineTo x="10985" y="14493"/>
                <wp:lineTo x="11086" y="13023"/>
                <wp:lineTo x="8365" y="12340"/>
                <wp:lineTo x="8365" y="11500"/>
                <wp:lineTo x="10481" y="11500"/>
                <wp:lineTo x="11086" y="11290"/>
                <wp:lineTo x="10884" y="9820"/>
                <wp:lineTo x="8667" y="8980"/>
                <wp:lineTo x="8365" y="8139"/>
                <wp:lineTo x="16528" y="8139"/>
                <wp:lineTo x="20659" y="7877"/>
                <wp:lineTo x="20760" y="6564"/>
                <wp:lineTo x="19450" y="6459"/>
                <wp:lineTo x="8969" y="6459"/>
                <wp:lineTo x="8365" y="5619"/>
                <wp:lineTo x="9171" y="5619"/>
                <wp:lineTo x="10985" y="5041"/>
                <wp:lineTo x="11086" y="3623"/>
                <wp:lineTo x="10481" y="3413"/>
                <wp:lineTo x="8566" y="3098"/>
                <wp:lineTo x="8365" y="2258"/>
                <wp:lineTo x="9372" y="2258"/>
                <wp:lineTo x="10985" y="1733"/>
                <wp:lineTo x="10985" y="1155"/>
                <wp:lineTo x="10582" y="683"/>
                <wp:lineTo x="10078" y="473"/>
                <wp:lineTo x="6147" y="473"/>
              </wp:wrapPolygon>
            </wp:wrapTight>
            <wp:docPr id="1" name="图片 1" descr="https://www.95549.cn/public/images/wqfwlct.png?v=20200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95549.cn/public/images/wqfwlct.png?v=202009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050" cy="783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cs="黑体" w:hint="eastAsia"/>
          <w:sz w:val="32"/>
          <w:szCs w:val="32"/>
        </w:rPr>
        <w:t>工作流程：</w:t>
      </w:r>
    </w:p>
    <w:sectPr w:rsidR="00C04710" w:rsidRPr="004941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766" w:rsidRDefault="002E7766" w:rsidP="006164AD">
      <w:r>
        <w:separator/>
      </w:r>
    </w:p>
  </w:endnote>
  <w:endnote w:type="continuationSeparator" w:id="0">
    <w:p w:rsidR="002E7766" w:rsidRDefault="002E7766" w:rsidP="0061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766" w:rsidRDefault="002E7766" w:rsidP="006164AD">
      <w:r>
        <w:separator/>
      </w:r>
    </w:p>
  </w:footnote>
  <w:footnote w:type="continuationSeparator" w:id="0">
    <w:p w:rsidR="002E7766" w:rsidRDefault="002E7766" w:rsidP="006164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6578C8"/>
    <w:multiLevelType w:val="singleLevel"/>
    <w:tmpl w:val="F76578C8"/>
    <w:lvl w:ilvl="0">
      <w:start w:val="1"/>
      <w:numFmt w:val="chineseCounting"/>
      <w:suff w:val="nothing"/>
      <w:lvlText w:val="%1、"/>
      <w:lvlJc w:val="left"/>
      <w:rPr>
        <w:rFonts w:hint="eastAsia"/>
      </w:rPr>
    </w:lvl>
  </w:abstractNum>
  <w:abstractNum w:abstractNumId="1" w15:restartNumberingAfterBreak="0">
    <w:nsid w:val="53A9360A"/>
    <w:multiLevelType w:val="multilevel"/>
    <w:tmpl w:val="53A9360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7F3329E"/>
    <w:multiLevelType w:val="hybridMultilevel"/>
    <w:tmpl w:val="2F508DD8"/>
    <w:lvl w:ilvl="0" w:tplc="5B0E7C98">
      <w:start w:val="1"/>
      <w:numFmt w:val="decimal"/>
      <w:lvlText w:val="（%1）"/>
      <w:lvlJc w:val="left"/>
      <w:pPr>
        <w:ind w:left="810" w:hanging="8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AD"/>
    <w:rsid w:val="00043F8B"/>
    <w:rsid w:val="00070FB9"/>
    <w:rsid w:val="000814AC"/>
    <w:rsid w:val="000B46BA"/>
    <w:rsid w:val="001565CC"/>
    <w:rsid w:val="001C53AD"/>
    <w:rsid w:val="00226B54"/>
    <w:rsid w:val="002414CB"/>
    <w:rsid w:val="002E7766"/>
    <w:rsid w:val="003F2DAD"/>
    <w:rsid w:val="0047666D"/>
    <w:rsid w:val="00494179"/>
    <w:rsid w:val="005921C4"/>
    <w:rsid w:val="006164AD"/>
    <w:rsid w:val="00781362"/>
    <w:rsid w:val="007F5048"/>
    <w:rsid w:val="0087236D"/>
    <w:rsid w:val="00A000F7"/>
    <w:rsid w:val="00A62AF6"/>
    <w:rsid w:val="00BB6D8C"/>
    <w:rsid w:val="00C04710"/>
    <w:rsid w:val="00C73CFB"/>
    <w:rsid w:val="00D20D7B"/>
    <w:rsid w:val="00DF2149"/>
    <w:rsid w:val="00E25001"/>
    <w:rsid w:val="00F0075C"/>
    <w:rsid w:val="00F40F37"/>
    <w:rsid w:val="33722C53"/>
    <w:rsid w:val="3965683F"/>
    <w:rsid w:val="47751D8D"/>
    <w:rsid w:val="7DFE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0ED39"/>
  <w15:docId w15:val="{39A7EB54-C048-4641-A0F2-9E3CBA37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 w:type="paragraph" w:styleId="a7">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261</Words>
  <Characters>1488</Characters>
  <Application>Microsoft Office Word</Application>
  <DocSecurity>0</DocSecurity>
  <Lines>12</Lines>
  <Paragraphs>3</Paragraphs>
  <ScaleCrop>false</ScaleCrop>
  <Company>P R C</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2021-06-28T03:31:00Z</dcterms:created>
  <dcterms:modified xsi:type="dcterms:W3CDTF">2021-07-12T06:21:00Z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