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35" w:rsidRDefault="00B40880">
      <w:pPr>
        <w:jc w:val="center"/>
        <w:rPr>
          <w:rFonts w:ascii="黑体" w:eastAsia="黑体" w:hAnsi="黑体" w:cs="黑体"/>
          <w:sz w:val="32"/>
          <w:szCs w:val="32"/>
        </w:rPr>
      </w:pPr>
      <w:r>
        <w:rPr>
          <w:rFonts w:ascii="黑体" w:eastAsia="黑体" w:hAnsi="黑体" w:cs="黑体" w:hint="eastAsia"/>
          <w:sz w:val="32"/>
          <w:szCs w:val="32"/>
        </w:rPr>
        <w:t>中国人寿</w:t>
      </w:r>
      <w:r>
        <w:rPr>
          <w:rFonts w:ascii="黑体" w:eastAsia="黑体" w:hAnsi="黑体" w:cs="黑体" w:hint="eastAsia"/>
          <w:sz w:val="32"/>
          <w:szCs w:val="32"/>
        </w:rPr>
        <w:t>保险公司信息披露</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D20335" w:rsidRDefault="00B40880">
      <w:pPr>
        <w:rPr>
          <w:rFonts w:ascii="仿宋" w:eastAsia="仿宋" w:hAnsi="仿宋" w:cs="仿宋"/>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 w:eastAsia="仿宋" w:hAnsi="仿宋" w:cs="仿宋" w:hint="eastAsia"/>
          <w:sz w:val="32"/>
          <w:szCs w:val="32"/>
        </w:rPr>
        <w:t>中国人寿保险（集团）公司属国家大型金融保险企业。</w:t>
      </w:r>
      <w:r>
        <w:rPr>
          <w:rFonts w:ascii="仿宋" w:eastAsia="仿宋" w:hAnsi="仿宋" w:cs="仿宋" w:hint="eastAsia"/>
          <w:sz w:val="32"/>
          <w:szCs w:val="32"/>
        </w:rPr>
        <w:t>2019</w:t>
      </w:r>
      <w:r>
        <w:rPr>
          <w:rFonts w:ascii="仿宋" w:eastAsia="仿宋" w:hAnsi="仿宋" w:cs="仿宋" w:hint="eastAsia"/>
          <w:sz w:val="32"/>
          <w:szCs w:val="32"/>
        </w:rPr>
        <w:t>年，集团公司合并营业收入</w:t>
      </w:r>
      <w:r>
        <w:rPr>
          <w:rFonts w:ascii="仿宋" w:eastAsia="仿宋" w:hAnsi="仿宋" w:cs="仿宋" w:hint="eastAsia"/>
          <w:sz w:val="32"/>
          <w:szCs w:val="32"/>
        </w:rPr>
        <w:t>9067</w:t>
      </w:r>
      <w:r>
        <w:rPr>
          <w:rFonts w:ascii="仿宋" w:eastAsia="仿宋" w:hAnsi="仿宋" w:cs="仿宋" w:hint="eastAsia"/>
          <w:sz w:val="32"/>
          <w:szCs w:val="32"/>
        </w:rPr>
        <w:t>亿元；合并保费收入</w:t>
      </w:r>
      <w:r>
        <w:rPr>
          <w:rFonts w:ascii="仿宋" w:eastAsia="仿宋" w:hAnsi="仿宋" w:cs="仿宋" w:hint="eastAsia"/>
          <w:sz w:val="32"/>
          <w:szCs w:val="32"/>
        </w:rPr>
        <w:t>6977</w:t>
      </w:r>
      <w:r>
        <w:rPr>
          <w:rFonts w:ascii="仿宋" w:eastAsia="仿宋" w:hAnsi="仿宋" w:cs="仿宋" w:hint="eastAsia"/>
          <w:sz w:val="32"/>
          <w:szCs w:val="32"/>
        </w:rPr>
        <w:t>亿元；合并总资产超</w:t>
      </w:r>
      <w:r>
        <w:rPr>
          <w:rFonts w:ascii="仿宋" w:eastAsia="仿宋" w:hAnsi="仿宋" w:cs="仿宋" w:hint="eastAsia"/>
          <w:sz w:val="32"/>
          <w:szCs w:val="32"/>
        </w:rPr>
        <w:t>4.5</w:t>
      </w:r>
      <w:proofErr w:type="gramStart"/>
      <w:r>
        <w:rPr>
          <w:rFonts w:ascii="仿宋" w:eastAsia="仿宋" w:hAnsi="仿宋" w:cs="仿宋" w:hint="eastAsia"/>
          <w:sz w:val="32"/>
          <w:szCs w:val="32"/>
        </w:rPr>
        <w:t>万亿</w:t>
      </w:r>
      <w:proofErr w:type="gramEnd"/>
      <w:r>
        <w:rPr>
          <w:rFonts w:ascii="仿宋" w:eastAsia="仿宋" w:hAnsi="仿宋" w:cs="仿宋" w:hint="eastAsia"/>
          <w:sz w:val="32"/>
          <w:szCs w:val="32"/>
        </w:rPr>
        <w:t>元。</w:t>
      </w:r>
    </w:p>
    <w:p w:rsidR="00D20335" w:rsidRDefault="00B40880">
      <w:pPr>
        <w:rPr>
          <w:rFonts w:ascii="仿宋" w:eastAsia="仿宋" w:hAnsi="仿宋" w:cs="仿宋"/>
          <w:sz w:val="32"/>
          <w:szCs w:val="32"/>
        </w:rPr>
      </w:pPr>
      <w:r>
        <w:rPr>
          <w:rFonts w:ascii="仿宋" w:eastAsia="仿宋" w:hAnsi="仿宋" w:cs="仿宋" w:hint="eastAsia"/>
          <w:sz w:val="32"/>
          <w:szCs w:val="32"/>
        </w:rPr>
        <w:t xml:space="preserve">　　中国人寿保险（集团）公司已连续</w:t>
      </w:r>
      <w:r>
        <w:rPr>
          <w:rFonts w:ascii="仿宋" w:eastAsia="仿宋" w:hAnsi="仿宋" w:cs="仿宋" w:hint="eastAsia"/>
          <w:sz w:val="32"/>
          <w:szCs w:val="32"/>
        </w:rPr>
        <w:t>18</w:t>
      </w:r>
      <w:r>
        <w:rPr>
          <w:rFonts w:ascii="仿宋" w:eastAsia="仿宋" w:hAnsi="仿宋" w:cs="仿宋" w:hint="eastAsia"/>
          <w:sz w:val="32"/>
          <w:szCs w:val="32"/>
        </w:rPr>
        <w:t>年入选《财富》世界</w:t>
      </w:r>
      <w:r>
        <w:rPr>
          <w:rFonts w:ascii="仿宋" w:eastAsia="仿宋" w:hAnsi="仿宋" w:cs="仿宋" w:hint="eastAsia"/>
          <w:sz w:val="32"/>
          <w:szCs w:val="32"/>
        </w:rPr>
        <w:t>500</w:t>
      </w:r>
      <w:r>
        <w:rPr>
          <w:rFonts w:ascii="仿宋" w:eastAsia="仿宋" w:hAnsi="仿宋" w:cs="仿宋" w:hint="eastAsia"/>
          <w:sz w:val="32"/>
          <w:szCs w:val="32"/>
        </w:rPr>
        <w:t>强企业，排名由</w:t>
      </w:r>
      <w:r>
        <w:rPr>
          <w:rFonts w:ascii="仿宋" w:eastAsia="仿宋" w:hAnsi="仿宋" w:cs="仿宋" w:hint="eastAsia"/>
          <w:sz w:val="32"/>
          <w:szCs w:val="32"/>
        </w:rPr>
        <w:t>2003</w:t>
      </w:r>
      <w:r>
        <w:rPr>
          <w:rFonts w:ascii="仿宋" w:eastAsia="仿宋" w:hAnsi="仿宋" w:cs="仿宋" w:hint="eastAsia"/>
          <w:sz w:val="32"/>
          <w:szCs w:val="32"/>
        </w:rPr>
        <w:t>年的</w:t>
      </w:r>
      <w:r>
        <w:rPr>
          <w:rFonts w:ascii="仿宋" w:eastAsia="仿宋" w:hAnsi="仿宋" w:cs="仿宋" w:hint="eastAsia"/>
          <w:sz w:val="32"/>
          <w:szCs w:val="32"/>
        </w:rPr>
        <w:t>290</w:t>
      </w:r>
      <w:r>
        <w:rPr>
          <w:rFonts w:ascii="仿宋" w:eastAsia="仿宋" w:hAnsi="仿宋" w:cs="仿宋" w:hint="eastAsia"/>
          <w:sz w:val="32"/>
          <w:szCs w:val="32"/>
        </w:rPr>
        <w:t>位跃升为</w:t>
      </w:r>
      <w:r>
        <w:rPr>
          <w:rFonts w:ascii="仿宋" w:eastAsia="仿宋" w:hAnsi="仿宋" w:cs="仿宋" w:hint="eastAsia"/>
          <w:sz w:val="32"/>
          <w:szCs w:val="32"/>
        </w:rPr>
        <w:t>2020</w:t>
      </w:r>
      <w:r>
        <w:rPr>
          <w:rFonts w:ascii="仿宋" w:eastAsia="仿宋" w:hAnsi="仿宋" w:cs="仿宋" w:hint="eastAsia"/>
          <w:sz w:val="32"/>
          <w:szCs w:val="32"/>
        </w:rPr>
        <w:t>年的</w:t>
      </w:r>
      <w:r>
        <w:rPr>
          <w:rFonts w:ascii="仿宋" w:eastAsia="仿宋" w:hAnsi="仿宋" w:cs="仿宋" w:hint="eastAsia"/>
          <w:sz w:val="32"/>
          <w:szCs w:val="32"/>
        </w:rPr>
        <w:t>45</w:t>
      </w:r>
      <w:r>
        <w:rPr>
          <w:rFonts w:ascii="仿宋" w:eastAsia="仿宋" w:hAnsi="仿宋" w:cs="仿宋" w:hint="eastAsia"/>
          <w:sz w:val="32"/>
          <w:szCs w:val="32"/>
        </w:rPr>
        <w:t>位；连续</w:t>
      </w:r>
      <w:r>
        <w:rPr>
          <w:rFonts w:ascii="仿宋" w:eastAsia="仿宋" w:hAnsi="仿宋" w:cs="仿宋" w:hint="eastAsia"/>
          <w:sz w:val="32"/>
          <w:szCs w:val="32"/>
        </w:rPr>
        <w:t>14</w:t>
      </w:r>
      <w:r>
        <w:rPr>
          <w:rFonts w:ascii="仿宋" w:eastAsia="仿宋" w:hAnsi="仿宋" w:cs="仿宋" w:hint="eastAsia"/>
          <w:sz w:val="32"/>
          <w:szCs w:val="32"/>
        </w:rPr>
        <w:t>年入选世界品牌</w:t>
      </w:r>
      <w:r>
        <w:rPr>
          <w:rFonts w:ascii="仿宋" w:eastAsia="仿宋" w:hAnsi="仿宋" w:cs="仿宋" w:hint="eastAsia"/>
          <w:sz w:val="32"/>
          <w:szCs w:val="32"/>
        </w:rPr>
        <w:t>500</w:t>
      </w:r>
      <w:r>
        <w:rPr>
          <w:rFonts w:ascii="仿宋" w:eastAsia="仿宋" w:hAnsi="仿宋" w:cs="仿宋" w:hint="eastAsia"/>
          <w:sz w:val="32"/>
          <w:szCs w:val="32"/>
        </w:rPr>
        <w:t>强，</w:t>
      </w:r>
      <w:r>
        <w:rPr>
          <w:rFonts w:ascii="仿宋" w:eastAsia="仿宋" w:hAnsi="仿宋" w:cs="仿宋" w:hint="eastAsia"/>
          <w:sz w:val="32"/>
          <w:szCs w:val="32"/>
        </w:rPr>
        <w:t>2020</w:t>
      </w:r>
      <w:r>
        <w:rPr>
          <w:rFonts w:ascii="仿宋" w:eastAsia="仿宋" w:hAnsi="仿宋" w:cs="仿宋" w:hint="eastAsia"/>
          <w:sz w:val="32"/>
          <w:szCs w:val="32"/>
        </w:rPr>
        <w:t>年品牌价值达人民币</w:t>
      </w:r>
      <w:r>
        <w:rPr>
          <w:rFonts w:ascii="仿宋" w:eastAsia="仿宋" w:hAnsi="仿宋" w:cs="仿宋" w:hint="eastAsia"/>
          <w:sz w:val="32"/>
          <w:szCs w:val="32"/>
        </w:rPr>
        <w:t>4158.61</w:t>
      </w:r>
      <w:r>
        <w:rPr>
          <w:rFonts w:ascii="仿宋" w:eastAsia="仿宋" w:hAnsi="仿宋" w:cs="仿宋" w:hint="eastAsia"/>
          <w:sz w:val="32"/>
          <w:szCs w:val="32"/>
        </w:rPr>
        <w:t>亿元；所属中国人寿保险股份有限公司继</w:t>
      </w:r>
      <w:r>
        <w:rPr>
          <w:rFonts w:ascii="仿宋" w:eastAsia="仿宋" w:hAnsi="仿宋" w:cs="仿宋" w:hint="eastAsia"/>
          <w:sz w:val="32"/>
          <w:szCs w:val="32"/>
        </w:rPr>
        <w:t>2003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月在纽约、香港两地同步上市之后，又于</w:t>
      </w:r>
      <w:r>
        <w:rPr>
          <w:rFonts w:ascii="仿宋" w:eastAsia="仿宋" w:hAnsi="仿宋" w:cs="仿宋" w:hint="eastAsia"/>
          <w:sz w:val="32"/>
          <w:szCs w:val="32"/>
        </w:rPr>
        <w:t>2007</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月回归境内</w:t>
      </w:r>
      <w:r>
        <w:rPr>
          <w:rFonts w:ascii="仿宋" w:eastAsia="仿宋" w:hAnsi="仿宋" w:cs="仿宋" w:hint="eastAsia"/>
          <w:sz w:val="32"/>
          <w:szCs w:val="32"/>
        </w:rPr>
        <w:t>A</w:t>
      </w:r>
      <w:r>
        <w:rPr>
          <w:rFonts w:ascii="仿宋" w:eastAsia="仿宋" w:hAnsi="仿宋" w:cs="仿宋" w:hint="eastAsia"/>
          <w:sz w:val="32"/>
          <w:szCs w:val="32"/>
        </w:rPr>
        <w:t>股市场，成为全球第一家在纽约、香港和上海三地上市的保险公司。</w:t>
      </w:r>
    </w:p>
    <w:p w:rsidR="00D20335" w:rsidRDefault="00B40880">
      <w:pPr>
        <w:rPr>
          <w:rFonts w:ascii="仿宋" w:eastAsia="仿宋" w:hAnsi="仿宋" w:cs="仿宋"/>
          <w:sz w:val="32"/>
          <w:szCs w:val="32"/>
        </w:rPr>
      </w:pPr>
      <w:r>
        <w:rPr>
          <w:rFonts w:ascii="仿宋" w:eastAsia="仿宋" w:hAnsi="仿宋" w:cs="仿宋" w:hint="eastAsia"/>
          <w:sz w:val="32"/>
          <w:szCs w:val="32"/>
        </w:rPr>
        <w:t xml:space="preserve">　　中国人寿保险（集团）公司的前身是诞生于</w:t>
      </w:r>
      <w:r>
        <w:rPr>
          <w:rFonts w:ascii="仿宋" w:eastAsia="仿宋" w:hAnsi="仿宋" w:cs="仿宋" w:hint="eastAsia"/>
          <w:sz w:val="32"/>
          <w:szCs w:val="32"/>
        </w:rPr>
        <w:t>1949</w:t>
      </w:r>
      <w:r>
        <w:rPr>
          <w:rFonts w:ascii="仿宋" w:eastAsia="仿宋" w:hAnsi="仿宋" w:cs="仿宋" w:hint="eastAsia"/>
          <w:sz w:val="32"/>
          <w:szCs w:val="32"/>
        </w:rPr>
        <w:t>年的原中国人民保险公司，</w:t>
      </w:r>
      <w:r>
        <w:rPr>
          <w:rFonts w:ascii="仿宋" w:eastAsia="仿宋" w:hAnsi="仿宋" w:cs="仿宋" w:hint="eastAsia"/>
          <w:sz w:val="32"/>
          <w:szCs w:val="32"/>
        </w:rPr>
        <w:t>1996</w:t>
      </w:r>
      <w:r>
        <w:rPr>
          <w:rFonts w:ascii="仿宋" w:eastAsia="仿宋" w:hAnsi="仿宋" w:cs="仿宋" w:hint="eastAsia"/>
          <w:sz w:val="32"/>
          <w:szCs w:val="32"/>
        </w:rPr>
        <w:t>年分设为中保人寿保险有限公司，</w:t>
      </w:r>
      <w:r>
        <w:rPr>
          <w:rFonts w:ascii="仿宋" w:eastAsia="仿宋" w:hAnsi="仿宋" w:cs="仿宋" w:hint="eastAsia"/>
          <w:sz w:val="32"/>
          <w:szCs w:val="32"/>
        </w:rPr>
        <w:t>1999</w:t>
      </w:r>
      <w:r>
        <w:rPr>
          <w:rFonts w:ascii="仿宋" w:eastAsia="仿宋" w:hAnsi="仿宋" w:cs="仿宋" w:hint="eastAsia"/>
          <w:sz w:val="32"/>
          <w:szCs w:val="32"/>
        </w:rPr>
        <w:t>年更名为中国人寿保险公司。</w:t>
      </w:r>
      <w:r>
        <w:rPr>
          <w:rFonts w:ascii="仿宋" w:eastAsia="仿宋" w:hAnsi="仿宋" w:cs="仿宋" w:hint="eastAsia"/>
          <w:sz w:val="32"/>
          <w:szCs w:val="32"/>
        </w:rPr>
        <w:t>2003</w:t>
      </w:r>
      <w:r>
        <w:rPr>
          <w:rFonts w:ascii="仿宋" w:eastAsia="仿宋" w:hAnsi="仿宋" w:cs="仿宋" w:hint="eastAsia"/>
          <w:sz w:val="32"/>
          <w:szCs w:val="32"/>
        </w:rPr>
        <w:t>年，经国务院和中国保险监督管理委员会批准，原中国人寿保险公司进行重组改制，变更为中国人寿保险（集团）公司，并独家发起设立中国人寿保险股份有限公司。目前，集团公司下设中国人寿保险股份有限公司、中国人</w:t>
      </w:r>
      <w:proofErr w:type="gramStart"/>
      <w:r>
        <w:rPr>
          <w:rFonts w:ascii="仿宋" w:eastAsia="仿宋" w:hAnsi="仿宋" w:cs="仿宋" w:hint="eastAsia"/>
          <w:sz w:val="32"/>
          <w:szCs w:val="32"/>
        </w:rPr>
        <w:t>寿资产</w:t>
      </w:r>
      <w:proofErr w:type="gramEnd"/>
      <w:r>
        <w:rPr>
          <w:rFonts w:ascii="仿宋" w:eastAsia="仿宋" w:hAnsi="仿宋" w:cs="仿宋" w:hint="eastAsia"/>
          <w:sz w:val="32"/>
          <w:szCs w:val="32"/>
        </w:rPr>
        <w:t>管理有限公司、中国人</w:t>
      </w:r>
      <w:proofErr w:type="gramStart"/>
      <w:r>
        <w:rPr>
          <w:rFonts w:ascii="仿宋" w:eastAsia="仿宋" w:hAnsi="仿宋" w:cs="仿宋" w:hint="eastAsia"/>
          <w:sz w:val="32"/>
          <w:szCs w:val="32"/>
        </w:rPr>
        <w:t>寿财产</w:t>
      </w:r>
      <w:proofErr w:type="gramEnd"/>
      <w:r>
        <w:rPr>
          <w:rFonts w:ascii="仿宋" w:eastAsia="仿宋" w:hAnsi="仿宋" w:cs="仿宋" w:hint="eastAsia"/>
          <w:sz w:val="32"/>
          <w:szCs w:val="32"/>
        </w:rPr>
        <w:t>保险股份有限公司、中国人寿养老保险股份有限公司、中国人寿电子商务有限公司、中国人寿保险（海外）股份有限公司、国寿投资保险资产管理有限公司、国寿健康产业投</w:t>
      </w:r>
      <w:r>
        <w:rPr>
          <w:rFonts w:ascii="仿宋" w:eastAsia="仿宋" w:hAnsi="仿宋" w:cs="仿宋" w:hint="eastAsia"/>
          <w:sz w:val="32"/>
          <w:szCs w:val="32"/>
        </w:rPr>
        <w:lastRenderedPageBreak/>
        <w:t>资有限公司以及保险职业学院等多家公司和机构。</w:t>
      </w:r>
      <w:r>
        <w:rPr>
          <w:rFonts w:ascii="仿宋" w:eastAsia="仿宋" w:hAnsi="仿宋" w:cs="仿宋" w:hint="eastAsia"/>
          <w:sz w:val="32"/>
          <w:szCs w:val="32"/>
        </w:rPr>
        <w:t>2016</w:t>
      </w:r>
      <w:r>
        <w:rPr>
          <w:rFonts w:ascii="仿宋" w:eastAsia="仿宋" w:hAnsi="仿宋" w:cs="仿宋" w:hint="eastAsia"/>
          <w:sz w:val="32"/>
          <w:szCs w:val="32"/>
        </w:rPr>
        <w:t>年，中国人寿</w:t>
      </w:r>
      <w:proofErr w:type="gramStart"/>
      <w:r>
        <w:rPr>
          <w:rFonts w:ascii="仿宋" w:eastAsia="仿宋" w:hAnsi="仿宋" w:cs="仿宋" w:hint="eastAsia"/>
          <w:sz w:val="32"/>
          <w:szCs w:val="32"/>
        </w:rPr>
        <w:t>入主广</w:t>
      </w:r>
      <w:proofErr w:type="gramEnd"/>
      <w:r>
        <w:rPr>
          <w:rFonts w:ascii="仿宋" w:eastAsia="仿宋" w:hAnsi="仿宋" w:cs="仿宋" w:hint="eastAsia"/>
          <w:sz w:val="32"/>
          <w:szCs w:val="32"/>
        </w:rPr>
        <w:t>发银行，开启保险、投资、银行三大板块协同发展新格局。</w:t>
      </w:r>
    </w:p>
    <w:p w:rsidR="00D20335" w:rsidRDefault="00B40880">
      <w:pPr>
        <w:rPr>
          <w:rFonts w:ascii="仿宋" w:eastAsia="仿宋" w:hAnsi="仿宋" w:cs="仿宋"/>
          <w:sz w:val="32"/>
          <w:szCs w:val="32"/>
        </w:rPr>
      </w:pPr>
      <w:r>
        <w:rPr>
          <w:rFonts w:ascii="仿宋" w:eastAsia="仿宋" w:hAnsi="仿宋" w:cs="仿宋" w:hint="eastAsia"/>
          <w:sz w:val="32"/>
          <w:szCs w:val="32"/>
        </w:rPr>
        <w:t xml:space="preserve">　　中国人寿秉持“成己为人</w:t>
      </w:r>
      <w:r>
        <w:rPr>
          <w:rFonts w:ascii="仿宋" w:eastAsia="仿宋" w:hAnsi="仿宋" w:cs="仿宋" w:hint="eastAsia"/>
          <w:sz w:val="32"/>
          <w:szCs w:val="32"/>
        </w:rPr>
        <w:t xml:space="preserve"> </w:t>
      </w:r>
      <w:r>
        <w:rPr>
          <w:rFonts w:ascii="仿宋" w:eastAsia="仿宋" w:hAnsi="仿宋" w:cs="仿宋" w:hint="eastAsia"/>
          <w:sz w:val="32"/>
          <w:szCs w:val="32"/>
        </w:rPr>
        <w:t>成人达己”的企业文化核心理念，坚持稳中求进工作总基调，坚持高质量发展，扎实推进保险主业价值和规模协调发展，努力提升投资板块贡献，积极做好银行金融服务，有序开展综合化经营、科技化创新、国际化布局，全面推进国际一流金融保险集团建设</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合作起止</w:t>
      </w:r>
      <w:r>
        <w:rPr>
          <w:rFonts w:ascii="黑体" w:eastAsia="黑体" w:hAnsi="黑体" w:cs="黑体" w:hint="eastAsia"/>
          <w:sz w:val="32"/>
          <w:szCs w:val="32"/>
        </w:rPr>
        <w:t>时间</w:t>
      </w:r>
    </w:p>
    <w:p w:rsidR="00D20335" w:rsidRDefault="00B40880">
      <w:pPr>
        <w:ind w:firstLineChars="200" w:firstLine="640"/>
        <w:rPr>
          <w:rFonts w:ascii="仿宋" w:eastAsia="仿宋" w:hAnsi="仿宋" w:cs="仿宋"/>
          <w:sz w:val="32"/>
          <w:szCs w:val="32"/>
        </w:rPr>
      </w:pPr>
      <w:r w:rsidRPr="00B40880">
        <w:rPr>
          <w:rFonts w:ascii="仿宋" w:eastAsia="仿宋" w:hAnsi="仿宋" w:cs="仿宋" w:hint="eastAsia"/>
          <w:sz w:val="32"/>
          <w:szCs w:val="32"/>
        </w:rPr>
        <w:t>合作期限以我行与保险公司签订的《保险兼业代理合同》期限为准，本次合作有效期至2021年12月31日。</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D20335" w:rsidRDefault="00B40880">
      <w:pPr>
        <w:ind w:firstLineChars="200" w:firstLine="640"/>
        <w:rPr>
          <w:rFonts w:ascii="仿宋" w:eastAsia="仿宋" w:hAnsi="仿宋" w:cs="仿宋"/>
          <w:sz w:val="32"/>
          <w:szCs w:val="32"/>
        </w:rPr>
      </w:pPr>
      <w:r w:rsidRPr="00B40880">
        <w:rPr>
          <w:rFonts w:ascii="仿宋" w:eastAsia="仿宋" w:hAnsi="仿宋" w:cs="仿宋" w:hint="eastAsia"/>
          <w:sz w:val="32"/>
          <w:szCs w:val="32"/>
        </w:rPr>
        <w:t>业务合作范围：代理销售保险产品、代理收取保险保费及《保险兼业代理业务合作协议》中约定的其他业务。</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公司偿付能力相关信息披露</w:t>
      </w:r>
    </w:p>
    <w:p w:rsidR="00D20335" w:rsidRDefault="00B40880">
      <w:pPr>
        <w:ind w:firstLineChars="200" w:firstLine="640"/>
        <w:rPr>
          <w:sz w:val="28"/>
          <w:szCs w:val="28"/>
        </w:rPr>
      </w:pPr>
      <w:r>
        <w:rPr>
          <w:rFonts w:ascii="仿宋" w:eastAsia="仿宋" w:hAnsi="仿宋" w:cs="仿宋" w:hint="eastAsia"/>
          <w:sz w:val="32"/>
          <w:szCs w:val="32"/>
        </w:rPr>
        <w:t>一年来综合偿付能力充足，风险综合评级结果为</w:t>
      </w:r>
      <w:r>
        <w:rPr>
          <w:rFonts w:ascii="仿宋" w:eastAsia="仿宋" w:hAnsi="仿宋" w:cs="仿宋" w:hint="eastAsia"/>
          <w:sz w:val="32"/>
          <w:szCs w:val="32"/>
        </w:rPr>
        <w:t>A</w:t>
      </w:r>
      <w:r>
        <w:rPr>
          <w:rFonts w:ascii="仿宋" w:eastAsia="仿宋" w:hAnsi="仿宋" w:cs="仿宋" w:hint="eastAsia"/>
          <w:sz w:val="32"/>
          <w:szCs w:val="32"/>
        </w:rPr>
        <w:t>类，消费者权益保护监管评价良好。</w:t>
      </w:r>
    </w:p>
    <w:p w:rsidR="00D20335" w:rsidRDefault="00D20335">
      <w:pPr>
        <w:pStyle w:val="a8"/>
        <w:spacing w:line="0" w:lineRule="atLeast"/>
        <w:ind w:left="420" w:firstLineChars="0" w:firstLine="0"/>
        <w:rPr>
          <w:sz w:val="28"/>
          <w:szCs w:val="28"/>
        </w:rPr>
      </w:pP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互联网保险产品及保单的查询和验真途径</w:t>
      </w:r>
    </w:p>
    <w:p w:rsidR="00D20335" w:rsidRDefault="00B40880">
      <w:pPr>
        <w:numPr>
          <w:ilvl w:val="0"/>
          <w:numId w:val="2"/>
        </w:numPr>
        <w:rPr>
          <w:rFonts w:ascii="微软雅黑" w:eastAsia="微软雅黑" w:hAnsi="微软雅黑" w:cs="微软雅黑"/>
          <w:sz w:val="24"/>
        </w:rPr>
      </w:pPr>
      <w:r>
        <w:rPr>
          <w:rFonts w:ascii="微软雅黑" w:eastAsia="微软雅黑" w:hAnsi="微软雅黑" w:cs="微软雅黑" w:hint="eastAsia"/>
          <w:sz w:val="24"/>
        </w:rPr>
        <w:t>公司官方网站：</w:t>
      </w:r>
      <w:r>
        <w:rPr>
          <w:rFonts w:ascii="微软雅黑" w:eastAsia="微软雅黑" w:hAnsi="微软雅黑" w:cs="微软雅黑" w:hint="eastAsia"/>
          <w:sz w:val="24"/>
        </w:rPr>
        <w:fldChar w:fldCharType="begin"/>
      </w:r>
      <w:r>
        <w:rPr>
          <w:rFonts w:ascii="微软雅黑" w:eastAsia="微软雅黑" w:hAnsi="微软雅黑" w:cs="微软雅黑" w:hint="eastAsia"/>
          <w:sz w:val="24"/>
        </w:rPr>
        <w:instrText xml:space="preserve"> HYPERLINK "https://www.e-chinalife.com/</w:instrText>
      </w:r>
      <w:r>
        <w:rPr>
          <w:rFonts w:ascii="微软雅黑" w:eastAsia="微软雅黑" w:hAnsi="微软雅黑" w:cs="微软雅黑" w:hint="eastAsia"/>
          <w:sz w:val="24"/>
        </w:rPr>
        <w:instrText>；</w:instrText>
      </w:r>
      <w:r>
        <w:rPr>
          <w:rFonts w:ascii="微软雅黑" w:eastAsia="微软雅黑" w:hAnsi="微软雅黑" w:cs="微软雅黑" w:hint="eastAsia"/>
          <w:sz w:val="24"/>
        </w:rPr>
        <w:instrText xml:space="preserve">" </w:instrText>
      </w:r>
      <w:r>
        <w:rPr>
          <w:rFonts w:ascii="微软雅黑" w:eastAsia="微软雅黑" w:hAnsi="微软雅黑" w:cs="微软雅黑" w:hint="eastAsia"/>
          <w:sz w:val="24"/>
        </w:rPr>
        <w:fldChar w:fldCharType="separate"/>
      </w:r>
      <w:r>
        <w:rPr>
          <w:rStyle w:val="a7"/>
          <w:rFonts w:ascii="微软雅黑" w:eastAsia="微软雅黑" w:hAnsi="微软雅黑" w:cs="微软雅黑" w:hint="eastAsia"/>
          <w:sz w:val="24"/>
        </w:rPr>
        <w:t>https://www.e-chinalife.com/</w:t>
      </w:r>
    </w:p>
    <w:p w:rsidR="00D20335" w:rsidRDefault="00B40880">
      <w:pPr>
        <w:numPr>
          <w:ilvl w:val="0"/>
          <w:numId w:val="2"/>
        </w:numPr>
        <w:rPr>
          <w:rFonts w:ascii="微软雅黑" w:eastAsia="微软雅黑" w:hAnsi="微软雅黑" w:cs="微软雅黑"/>
          <w:sz w:val="24"/>
        </w:rPr>
      </w:pPr>
      <w:r>
        <w:rPr>
          <w:rFonts w:ascii="微软雅黑" w:eastAsia="微软雅黑" w:hAnsi="微软雅黑" w:cs="微软雅黑" w:hint="eastAsia"/>
          <w:sz w:val="24"/>
        </w:rPr>
        <w:t>保险产品及保单的查询和验真途径：</w:t>
      </w:r>
      <w:hyperlink r:id="rId6" w:history="1">
        <w:r>
          <w:rPr>
            <w:rStyle w:val="a7"/>
            <w:rFonts w:ascii="微软雅黑" w:eastAsia="微软雅黑" w:hAnsi="微软雅黑" w:cs="微软雅黑" w:hint="eastAsia"/>
            <w:sz w:val="24"/>
          </w:rPr>
          <w:t>https://www.e-chinalife.com/khfw/</w:t>
        </w:r>
      </w:hyperlink>
    </w:p>
    <w:p w:rsidR="00D20335" w:rsidRDefault="00B40880">
      <w:pPr>
        <w:rPr>
          <w:rFonts w:ascii="微软雅黑" w:eastAsia="微软雅黑" w:hAnsi="微软雅黑" w:cs="微软雅黑"/>
          <w:sz w:val="24"/>
        </w:rPr>
      </w:pPr>
      <w:r>
        <w:rPr>
          <w:rFonts w:ascii="微软雅黑" w:eastAsia="微软雅黑" w:hAnsi="微软雅黑" w:cs="微软雅黑" w:hint="eastAsia"/>
          <w:sz w:val="24"/>
        </w:rPr>
        <w:fldChar w:fldCharType="end"/>
      </w:r>
      <w:r>
        <w:rPr>
          <w:rFonts w:ascii="微软雅黑" w:eastAsia="微软雅黑" w:hAnsi="微软雅黑" w:cs="微软雅黑" w:hint="eastAsia"/>
          <w:sz w:val="24"/>
        </w:rPr>
        <w:t xml:space="preserve"> </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省级分支机构和落地服务机构的名称、办公地址、电话号码等</w:t>
      </w:r>
    </w:p>
    <w:tbl>
      <w:tblPr>
        <w:tblW w:w="8520" w:type="dxa"/>
        <w:tblCellMar>
          <w:left w:w="0" w:type="dxa"/>
          <w:right w:w="0" w:type="dxa"/>
        </w:tblCellMar>
        <w:tblLook w:val="04A0" w:firstRow="1" w:lastRow="0" w:firstColumn="1" w:lastColumn="0" w:noHBand="0" w:noVBand="1"/>
      </w:tblPr>
      <w:tblGrid>
        <w:gridCol w:w="3060"/>
        <w:gridCol w:w="5460"/>
      </w:tblGrid>
      <w:tr w:rsidR="00D20335">
        <w:trPr>
          <w:trHeight w:val="300"/>
        </w:trPr>
        <w:tc>
          <w:tcPr>
            <w:tcW w:w="3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lang w:bidi="ar"/>
              </w:rPr>
              <w:t>单位</w:t>
            </w:r>
          </w:p>
        </w:tc>
        <w:tc>
          <w:tcPr>
            <w:tcW w:w="5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lang w:bidi="ar"/>
              </w:rPr>
              <w:t>地址</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中国人寿广东省公司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广州市</w:t>
            </w:r>
            <w:proofErr w:type="gramStart"/>
            <w:r>
              <w:rPr>
                <w:rFonts w:ascii="微软雅黑" w:eastAsia="微软雅黑" w:hAnsi="微软雅黑" w:cs="微软雅黑" w:hint="eastAsia"/>
                <w:color w:val="000000"/>
                <w:kern w:val="0"/>
                <w:sz w:val="22"/>
                <w:szCs w:val="22"/>
                <w:lang w:bidi="ar"/>
              </w:rPr>
              <w:t>荔</w:t>
            </w:r>
            <w:proofErr w:type="gramEnd"/>
            <w:r>
              <w:rPr>
                <w:rFonts w:ascii="微软雅黑" w:eastAsia="微软雅黑" w:hAnsi="微软雅黑" w:cs="微软雅黑" w:hint="eastAsia"/>
                <w:color w:val="000000"/>
                <w:kern w:val="0"/>
                <w:sz w:val="22"/>
                <w:szCs w:val="22"/>
                <w:lang w:bidi="ar"/>
              </w:rPr>
              <w:t>湾区中山七路</w:t>
            </w:r>
            <w:r>
              <w:rPr>
                <w:rFonts w:ascii="微软雅黑" w:eastAsia="微软雅黑" w:hAnsi="微软雅黑" w:cs="微软雅黑" w:hint="eastAsia"/>
                <w:color w:val="000000"/>
                <w:kern w:val="0"/>
                <w:sz w:val="22"/>
                <w:szCs w:val="22"/>
                <w:lang w:bidi="ar"/>
              </w:rPr>
              <w:t>133</w:t>
            </w:r>
            <w:r>
              <w:rPr>
                <w:rFonts w:ascii="微软雅黑" w:eastAsia="微软雅黑" w:hAnsi="微软雅黑" w:cs="微软雅黑" w:hint="eastAsia"/>
                <w:color w:val="000000"/>
                <w:kern w:val="0"/>
                <w:sz w:val="22"/>
                <w:szCs w:val="22"/>
                <w:lang w:bidi="ar"/>
              </w:rPr>
              <w:t>号广东荔湾大厦</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中国人寿东莞分公司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w:t>
            </w:r>
            <w:proofErr w:type="gramStart"/>
            <w:r>
              <w:rPr>
                <w:rFonts w:ascii="微软雅黑" w:eastAsia="微软雅黑" w:hAnsi="微软雅黑" w:cs="微软雅黑" w:hint="eastAsia"/>
                <w:color w:val="000000"/>
                <w:kern w:val="0"/>
                <w:sz w:val="22"/>
                <w:szCs w:val="22"/>
                <w:lang w:bidi="ar"/>
              </w:rPr>
              <w:t>莞</w:t>
            </w:r>
            <w:proofErr w:type="gramEnd"/>
            <w:r>
              <w:rPr>
                <w:rFonts w:ascii="微软雅黑" w:eastAsia="微软雅黑" w:hAnsi="微软雅黑" w:cs="微软雅黑" w:hint="eastAsia"/>
                <w:color w:val="000000"/>
                <w:kern w:val="0"/>
                <w:sz w:val="22"/>
                <w:szCs w:val="22"/>
                <w:lang w:bidi="ar"/>
              </w:rPr>
              <w:t>城区东兴</w:t>
            </w:r>
            <w:proofErr w:type="gramStart"/>
            <w:r>
              <w:rPr>
                <w:rFonts w:ascii="微软雅黑" w:eastAsia="微软雅黑" w:hAnsi="微软雅黑" w:cs="微软雅黑" w:hint="eastAsia"/>
                <w:color w:val="000000"/>
                <w:kern w:val="0"/>
                <w:sz w:val="22"/>
                <w:szCs w:val="22"/>
                <w:lang w:bidi="ar"/>
              </w:rPr>
              <w:t>卢</w:t>
            </w:r>
            <w:proofErr w:type="gramEnd"/>
            <w:r>
              <w:rPr>
                <w:rFonts w:ascii="微软雅黑" w:eastAsia="微软雅黑" w:hAnsi="微软雅黑" w:cs="微软雅黑" w:hint="eastAsia"/>
                <w:color w:val="000000"/>
                <w:kern w:val="0"/>
                <w:sz w:val="22"/>
                <w:szCs w:val="22"/>
                <w:lang w:bidi="ar"/>
              </w:rPr>
              <w:t>151</w:t>
            </w:r>
            <w:r>
              <w:rPr>
                <w:rFonts w:ascii="微软雅黑" w:eastAsia="微软雅黑" w:hAnsi="微软雅黑" w:cs="微软雅黑" w:hint="eastAsia"/>
                <w:color w:val="000000"/>
                <w:kern w:val="0"/>
                <w:sz w:val="22"/>
                <w:szCs w:val="22"/>
                <w:lang w:bidi="ar"/>
              </w:rPr>
              <w:t>号中国人寿东莞分公司</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中国人寿樟木头营业区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东莞市樟木头镇东城路</w:t>
            </w:r>
            <w:r>
              <w:rPr>
                <w:rFonts w:ascii="微软雅黑" w:eastAsia="微软雅黑" w:hAnsi="微软雅黑" w:cs="微软雅黑" w:hint="eastAsia"/>
                <w:color w:val="000000"/>
                <w:kern w:val="0"/>
                <w:sz w:val="22"/>
                <w:szCs w:val="22"/>
                <w:lang w:bidi="ar"/>
              </w:rPr>
              <w:t>66</w:t>
            </w:r>
            <w:r>
              <w:rPr>
                <w:rFonts w:ascii="微软雅黑" w:eastAsia="微软雅黑" w:hAnsi="微软雅黑" w:cs="微软雅黑" w:hint="eastAsia"/>
                <w:color w:val="000000"/>
                <w:kern w:val="0"/>
                <w:sz w:val="22"/>
                <w:szCs w:val="22"/>
                <w:lang w:bidi="ar"/>
              </w:rPr>
              <w:t>号</w:t>
            </w:r>
            <w:proofErr w:type="gramStart"/>
            <w:r>
              <w:rPr>
                <w:rFonts w:ascii="微软雅黑" w:eastAsia="微软雅黑" w:hAnsi="微软雅黑" w:cs="微软雅黑" w:hint="eastAsia"/>
                <w:color w:val="000000"/>
                <w:kern w:val="0"/>
                <w:sz w:val="22"/>
                <w:szCs w:val="22"/>
                <w:lang w:bidi="ar"/>
              </w:rPr>
              <w:t>百顺楼一</w:t>
            </w:r>
            <w:proofErr w:type="gramEnd"/>
            <w:r>
              <w:rPr>
                <w:rFonts w:ascii="微软雅黑" w:eastAsia="微软雅黑" w:hAnsi="微软雅黑" w:cs="微软雅黑" w:hint="eastAsia"/>
                <w:color w:val="000000"/>
                <w:kern w:val="0"/>
                <w:sz w:val="22"/>
                <w:szCs w:val="22"/>
                <w:lang w:bidi="ar"/>
              </w:rPr>
              <w:t>楼</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中国人寿常平营业区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东莞市常平镇富鸿写字楼</w:t>
            </w:r>
            <w:r>
              <w:rPr>
                <w:rFonts w:ascii="微软雅黑" w:eastAsia="微软雅黑" w:hAnsi="微软雅黑" w:cs="微软雅黑" w:hint="eastAsia"/>
                <w:color w:val="000000"/>
                <w:kern w:val="0"/>
                <w:sz w:val="22"/>
                <w:szCs w:val="22"/>
                <w:lang w:bidi="ar"/>
              </w:rPr>
              <w:t>7</w:t>
            </w:r>
            <w:proofErr w:type="gramStart"/>
            <w:r>
              <w:rPr>
                <w:rFonts w:ascii="微软雅黑" w:eastAsia="微软雅黑" w:hAnsi="微软雅黑" w:cs="微软雅黑" w:hint="eastAsia"/>
                <w:color w:val="000000"/>
                <w:kern w:val="0"/>
                <w:sz w:val="22"/>
                <w:szCs w:val="22"/>
                <w:lang w:bidi="ar"/>
              </w:rPr>
              <w:t>楼银保</w:t>
            </w:r>
            <w:proofErr w:type="gramEnd"/>
            <w:r>
              <w:rPr>
                <w:rFonts w:ascii="微软雅黑" w:eastAsia="微软雅黑" w:hAnsi="微软雅黑" w:cs="微软雅黑" w:hint="eastAsia"/>
                <w:color w:val="000000"/>
                <w:kern w:val="0"/>
                <w:sz w:val="22"/>
                <w:szCs w:val="22"/>
                <w:lang w:bidi="ar"/>
              </w:rPr>
              <w:t>部</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中国人寿中堂营业区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东莞市中堂镇中兴路</w:t>
            </w:r>
            <w:r>
              <w:rPr>
                <w:rFonts w:ascii="微软雅黑" w:eastAsia="微软雅黑" w:hAnsi="微软雅黑" w:cs="微软雅黑" w:hint="eastAsia"/>
                <w:color w:val="000000"/>
                <w:kern w:val="0"/>
                <w:sz w:val="22"/>
                <w:szCs w:val="22"/>
                <w:lang w:bidi="ar"/>
              </w:rPr>
              <w:t>38</w:t>
            </w:r>
            <w:r>
              <w:rPr>
                <w:rFonts w:ascii="微软雅黑" w:eastAsia="微软雅黑" w:hAnsi="微软雅黑" w:cs="微软雅黑" w:hint="eastAsia"/>
                <w:color w:val="000000"/>
                <w:kern w:val="0"/>
                <w:sz w:val="22"/>
                <w:szCs w:val="22"/>
                <w:lang w:bidi="ar"/>
              </w:rPr>
              <w:t>号中堂营业部</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中国人寿石龙营业区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东莞市石龙镇黄州裕兴路中国人</w:t>
            </w:r>
            <w:proofErr w:type="gramStart"/>
            <w:r>
              <w:rPr>
                <w:rFonts w:ascii="微软雅黑" w:eastAsia="微软雅黑" w:hAnsi="微软雅黑" w:cs="微软雅黑" w:hint="eastAsia"/>
                <w:color w:val="000000"/>
                <w:kern w:val="0"/>
                <w:sz w:val="22"/>
                <w:szCs w:val="22"/>
                <w:lang w:bidi="ar"/>
              </w:rPr>
              <w:t>寿综合</w:t>
            </w:r>
            <w:proofErr w:type="gramEnd"/>
            <w:r>
              <w:rPr>
                <w:rFonts w:ascii="微软雅黑" w:eastAsia="微软雅黑" w:hAnsi="微软雅黑" w:cs="微软雅黑" w:hint="eastAsia"/>
                <w:color w:val="000000"/>
                <w:kern w:val="0"/>
                <w:sz w:val="22"/>
                <w:szCs w:val="22"/>
                <w:lang w:bidi="ar"/>
              </w:rPr>
              <w:t>楼</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中国人寿虎门营业区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东莞市虎门镇虎门大道</w:t>
            </w:r>
            <w:r>
              <w:rPr>
                <w:rFonts w:ascii="微软雅黑" w:eastAsia="微软雅黑" w:hAnsi="微软雅黑" w:cs="微软雅黑" w:hint="eastAsia"/>
                <w:color w:val="000000"/>
                <w:kern w:val="0"/>
                <w:sz w:val="22"/>
                <w:szCs w:val="22"/>
                <w:lang w:bidi="ar"/>
              </w:rPr>
              <w:t>288</w:t>
            </w:r>
            <w:r>
              <w:rPr>
                <w:rFonts w:ascii="微软雅黑" w:eastAsia="微软雅黑" w:hAnsi="微软雅黑" w:cs="微软雅黑" w:hint="eastAsia"/>
                <w:color w:val="000000"/>
                <w:kern w:val="0"/>
                <w:sz w:val="22"/>
                <w:szCs w:val="22"/>
                <w:lang w:bidi="ar"/>
              </w:rPr>
              <w:t>号德基广场２号楼６楼</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中国人寿长安营业区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东莞市长安镇东门中路</w:t>
            </w:r>
            <w:r>
              <w:rPr>
                <w:rFonts w:ascii="微软雅黑" w:eastAsia="微软雅黑" w:hAnsi="微软雅黑" w:cs="微软雅黑" w:hint="eastAsia"/>
                <w:color w:val="000000"/>
                <w:kern w:val="0"/>
                <w:sz w:val="22"/>
                <w:szCs w:val="22"/>
                <w:lang w:bidi="ar"/>
              </w:rPr>
              <w:t>121</w:t>
            </w:r>
            <w:r>
              <w:rPr>
                <w:rFonts w:ascii="微软雅黑" w:eastAsia="微软雅黑" w:hAnsi="微软雅黑" w:cs="微软雅黑" w:hint="eastAsia"/>
                <w:color w:val="000000"/>
                <w:kern w:val="0"/>
                <w:sz w:val="22"/>
                <w:szCs w:val="22"/>
                <w:lang w:bidi="ar"/>
              </w:rPr>
              <w:t>号百汇金融</w:t>
            </w:r>
            <w:r>
              <w:rPr>
                <w:rFonts w:ascii="微软雅黑" w:eastAsia="微软雅黑" w:hAnsi="微软雅黑" w:cs="微软雅黑" w:hint="eastAsia"/>
                <w:color w:val="000000"/>
                <w:kern w:val="0"/>
                <w:sz w:val="22"/>
                <w:szCs w:val="22"/>
                <w:lang w:bidi="ar"/>
              </w:rPr>
              <w:t>501</w:t>
            </w:r>
          </w:p>
        </w:tc>
      </w:tr>
      <w:tr w:rsidR="00D20335">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proofErr w:type="gramStart"/>
            <w:r>
              <w:rPr>
                <w:rFonts w:ascii="微软雅黑" w:eastAsia="微软雅黑" w:hAnsi="微软雅黑" w:cs="微软雅黑" w:hint="eastAsia"/>
                <w:color w:val="000000"/>
                <w:kern w:val="0"/>
                <w:sz w:val="22"/>
                <w:szCs w:val="22"/>
                <w:lang w:bidi="ar"/>
              </w:rPr>
              <w:t>中国人寿塘厦</w:t>
            </w:r>
            <w:proofErr w:type="gramEnd"/>
            <w:r>
              <w:rPr>
                <w:rFonts w:ascii="微软雅黑" w:eastAsia="微软雅黑" w:hAnsi="微软雅黑" w:cs="微软雅黑" w:hint="eastAsia"/>
                <w:color w:val="000000"/>
                <w:kern w:val="0"/>
                <w:sz w:val="22"/>
                <w:szCs w:val="22"/>
                <w:lang w:bidi="ar"/>
              </w:rPr>
              <w:t>营业区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0335" w:rsidRDefault="00B4088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塘厦镇环市北路</w:t>
            </w:r>
            <w:r>
              <w:rPr>
                <w:rFonts w:ascii="微软雅黑" w:eastAsia="微软雅黑" w:hAnsi="微软雅黑" w:cs="微软雅黑" w:hint="eastAsia"/>
                <w:color w:val="000000"/>
                <w:kern w:val="0"/>
                <w:sz w:val="22"/>
                <w:szCs w:val="22"/>
                <w:lang w:bidi="ar"/>
              </w:rPr>
              <w:t>8</w:t>
            </w:r>
            <w:r>
              <w:rPr>
                <w:rFonts w:ascii="微软雅黑" w:eastAsia="微软雅黑" w:hAnsi="微软雅黑" w:cs="微软雅黑" w:hint="eastAsia"/>
                <w:color w:val="000000"/>
                <w:kern w:val="0"/>
                <w:sz w:val="22"/>
                <w:szCs w:val="22"/>
                <w:lang w:bidi="ar"/>
              </w:rPr>
              <w:t>号时代中心</w:t>
            </w:r>
            <w:r>
              <w:rPr>
                <w:rFonts w:ascii="微软雅黑" w:eastAsia="微软雅黑" w:hAnsi="微软雅黑" w:cs="微软雅黑" w:hint="eastAsia"/>
                <w:color w:val="000000"/>
                <w:kern w:val="0"/>
                <w:sz w:val="22"/>
                <w:szCs w:val="22"/>
                <w:lang w:bidi="ar"/>
              </w:rPr>
              <w:t>2</w:t>
            </w:r>
            <w:r>
              <w:rPr>
                <w:rFonts w:ascii="微软雅黑" w:eastAsia="微软雅黑" w:hAnsi="微软雅黑" w:cs="微软雅黑" w:hint="eastAsia"/>
                <w:color w:val="000000"/>
                <w:kern w:val="0"/>
                <w:sz w:val="22"/>
                <w:szCs w:val="22"/>
                <w:lang w:bidi="ar"/>
              </w:rPr>
              <w:t>楼中国人寿</w:t>
            </w:r>
            <w:r>
              <w:rPr>
                <w:rFonts w:ascii="微软雅黑" w:eastAsia="微软雅黑" w:hAnsi="微软雅黑" w:cs="微软雅黑" w:hint="eastAsia"/>
                <w:color w:val="000000"/>
                <w:kern w:val="0"/>
                <w:sz w:val="22"/>
                <w:szCs w:val="22"/>
                <w:lang w:bidi="ar"/>
              </w:rPr>
              <w:t>232</w:t>
            </w:r>
            <w:r>
              <w:rPr>
                <w:rFonts w:ascii="微软雅黑" w:eastAsia="微软雅黑" w:hAnsi="微软雅黑" w:cs="微软雅黑" w:hint="eastAsia"/>
                <w:color w:val="000000"/>
                <w:kern w:val="0"/>
                <w:sz w:val="22"/>
                <w:szCs w:val="22"/>
                <w:lang w:bidi="ar"/>
              </w:rPr>
              <w:t>号</w:t>
            </w:r>
          </w:p>
        </w:tc>
      </w:tr>
    </w:tbl>
    <w:p w:rsidR="00D20335" w:rsidRDefault="00D20335">
      <w:pPr>
        <w:rPr>
          <w:rFonts w:ascii="黑体" w:eastAsia="黑体" w:hAnsi="黑体" w:cs="黑体"/>
          <w:sz w:val="32"/>
          <w:szCs w:val="32"/>
        </w:rPr>
      </w:pP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针对消费者个人信息、投保交易信息和交易安全的保障措施</w:t>
      </w:r>
    </w:p>
    <w:p w:rsidR="00D20335" w:rsidRDefault="00B40880">
      <w:pPr>
        <w:ind w:firstLineChars="200" w:firstLine="560"/>
        <w:rPr>
          <w:sz w:val="28"/>
          <w:szCs w:val="28"/>
        </w:rPr>
      </w:pPr>
      <w:r>
        <w:rPr>
          <w:rFonts w:hint="eastAsia"/>
          <w:sz w:val="28"/>
          <w:szCs w:val="28"/>
        </w:rPr>
        <w:t>根据与贵行签署的</w:t>
      </w:r>
      <w:r>
        <w:rPr>
          <w:rFonts w:hint="eastAsia"/>
          <w:sz w:val="28"/>
          <w:szCs w:val="28"/>
        </w:rPr>
        <w:t>2021</w:t>
      </w:r>
      <w:r>
        <w:rPr>
          <w:rFonts w:hint="eastAsia"/>
          <w:sz w:val="28"/>
          <w:szCs w:val="28"/>
        </w:rPr>
        <w:t>年保险兼业代理合同第六十六条规定，双方业务合作间的客户信息真实性管理，将会严格执行中国银行保险监督管理委员会印发《人身保险客户信息真实性管理暂行办法》的相关规定，并遵守就双方在保险兼业合作过程中关于人身保险客户信息真实性管理的权利和义务达成的约定。</w:t>
      </w:r>
    </w:p>
    <w:p w:rsidR="00D20335" w:rsidRDefault="00B40880">
      <w:pPr>
        <w:numPr>
          <w:ilvl w:val="0"/>
          <w:numId w:val="1"/>
        </w:numPr>
        <w:rPr>
          <w:rFonts w:ascii="黑体" w:eastAsia="黑体" w:hAnsi="黑体" w:cs="黑体"/>
          <w:sz w:val="32"/>
          <w:szCs w:val="32"/>
        </w:rPr>
      </w:pPr>
      <w:r>
        <w:rPr>
          <w:rFonts w:ascii="黑体" w:eastAsia="黑体" w:hAnsi="黑体" w:cs="黑体" w:hint="eastAsia"/>
          <w:sz w:val="32"/>
          <w:szCs w:val="32"/>
        </w:rPr>
        <w:t>理赔、保全、投诉等客户服务</w:t>
      </w:r>
    </w:p>
    <w:p w:rsidR="00D20335" w:rsidRDefault="00D20335">
      <w:pPr>
        <w:rPr>
          <w:rFonts w:ascii="仿宋_GB2312" w:eastAsia="仿宋_GB2312" w:hAnsi="仿宋_GB2312" w:cs="仿宋_GB2312"/>
          <w:sz w:val="32"/>
          <w:szCs w:val="32"/>
        </w:rPr>
      </w:pPr>
      <w:bookmarkStart w:id="0" w:name="_GoBack"/>
      <w:bookmarkEnd w:id="0"/>
    </w:p>
    <w:p w:rsidR="00D20335" w:rsidRDefault="00B40880">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客服电话：</w:t>
      </w:r>
      <w:r>
        <w:rPr>
          <w:rFonts w:ascii="仿宋_GB2312" w:eastAsia="仿宋_GB2312" w:hAnsi="仿宋_GB2312" w:cs="仿宋_GB2312" w:hint="eastAsia"/>
          <w:sz w:val="32"/>
          <w:szCs w:val="32"/>
        </w:rPr>
        <w:t>95519</w:t>
      </w:r>
      <w:r>
        <w:rPr>
          <w:rFonts w:ascii="仿宋_GB2312" w:eastAsia="仿宋_GB2312" w:hAnsi="仿宋_GB2312" w:cs="仿宋_GB2312" w:hint="eastAsia"/>
          <w:sz w:val="32"/>
          <w:szCs w:val="32"/>
        </w:rPr>
        <w:t>；</w:t>
      </w:r>
    </w:p>
    <w:p w:rsidR="00D20335" w:rsidRDefault="00B40880">
      <w:pPr>
        <w:jc w:val="left"/>
        <w:rPr>
          <w:rFonts w:ascii="Helvetica" w:eastAsia="Helvetica" w:hAnsi="Helvetica" w:cs="Helvetica"/>
          <w:color w:val="333333"/>
          <w:kern w:val="0"/>
          <w:szCs w:val="21"/>
          <w:shd w:val="clear" w:color="auto" w:fill="FFFFFF"/>
          <w:lang w:bidi="ar"/>
        </w:rPr>
      </w:pPr>
      <w:r>
        <w:rPr>
          <w:rFonts w:ascii="仿宋_GB2312" w:eastAsia="仿宋_GB2312" w:hAnsi="仿宋_GB2312" w:cs="仿宋_GB2312" w:hint="eastAsia"/>
          <w:sz w:val="32"/>
          <w:szCs w:val="32"/>
        </w:rPr>
        <w:t>投诉流程：</w:t>
      </w:r>
      <w:r>
        <w:rPr>
          <w:rFonts w:ascii="Helvetica" w:eastAsia="Helvetica" w:hAnsi="Helvetica" w:cs="Helvetica"/>
          <w:noProof/>
          <w:color w:val="333333"/>
          <w:kern w:val="0"/>
          <w:szCs w:val="21"/>
          <w:shd w:val="clear" w:color="auto" w:fill="FFFFFF"/>
        </w:rPr>
        <w:drawing>
          <wp:inline distT="0" distB="0" distL="114300" distR="114300">
            <wp:extent cx="4895850" cy="2400300"/>
            <wp:effectExtent l="0" t="0" r="0" b="0"/>
            <wp:docPr id="3" name="图片 3" descr="消费者投诉处理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消费者投诉处理程序"/>
                    <pic:cNvPicPr>
                      <a:picLocks noChangeAspect="1"/>
                    </pic:cNvPicPr>
                  </pic:nvPicPr>
                  <pic:blipFill>
                    <a:blip r:embed="rId7"/>
                    <a:stretch>
                      <a:fillRect/>
                    </a:stretch>
                  </pic:blipFill>
                  <pic:spPr>
                    <a:xfrm>
                      <a:off x="0" y="0"/>
                      <a:ext cx="4895850" cy="2400300"/>
                    </a:xfrm>
                    <a:prstGeom prst="rect">
                      <a:avLst/>
                    </a:prstGeom>
                    <a:noFill/>
                    <a:ln w="9525">
                      <a:noFill/>
                    </a:ln>
                  </pic:spPr>
                </pic:pic>
              </a:graphicData>
            </a:graphic>
          </wp:inline>
        </w:drawing>
      </w:r>
    </w:p>
    <w:p w:rsidR="00D20335" w:rsidRDefault="00B40880">
      <w:pPr>
        <w:rPr>
          <w:rFonts w:ascii="Helvetica" w:eastAsia="Helvetica" w:hAnsi="Helvetica" w:cs="Helvetica"/>
          <w:color w:val="333333"/>
          <w:kern w:val="0"/>
          <w:szCs w:val="21"/>
          <w:shd w:val="clear" w:color="auto" w:fill="FFFFFF"/>
          <w:lang w:bidi="ar"/>
        </w:rPr>
      </w:pPr>
      <w:r>
        <w:rPr>
          <w:rFonts w:ascii="仿宋_GB2312" w:eastAsia="仿宋_GB2312" w:hAnsi="仿宋_GB2312" w:cs="仿宋_GB2312" w:hint="eastAsia"/>
          <w:sz w:val="32"/>
          <w:szCs w:val="32"/>
        </w:rPr>
        <w:t>理赔流程：</w:t>
      </w:r>
    </w:p>
    <w:p w:rsidR="00D20335" w:rsidRDefault="00B40880">
      <w:pPr>
        <w:widowControl/>
        <w:shd w:val="clear" w:color="auto" w:fill="FFFFFF"/>
        <w:spacing w:before="1126" w:after="600" w:line="21" w:lineRule="atLeast"/>
        <w:ind w:right="600"/>
        <w:rPr>
          <w:rFonts w:ascii="仿宋" w:eastAsia="仿宋" w:hAnsi="仿宋" w:cs="仿宋"/>
          <w:sz w:val="32"/>
          <w:szCs w:val="32"/>
          <w:highlight w:val="yellow"/>
        </w:rPr>
      </w:pPr>
      <w:r>
        <w:rPr>
          <w:rFonts w:ascii="Helvetica" w:eastAsia="Helvetica" w:hAnsi="Helvetica" w:cs="Helvetica"/>
          <w:noProof/>
          <w:color w:val="333333"/>
          <w:kern w:val="0"/>
          <w:szCs w:val="21"/>
          <w:highlight w:val="yellow"/>
          <w:shd w:val="clear" w:color="auto" w:fill="FFFFFF"/>
        </w:rPr>
        <w:drawing>
          <wp:anchor distT="0" distB="0" distL="114935" distR="114935" simplePos="0" relativeHeight="251659264" behindDoc="0" locked="0" layoutInCell="1" allowOverlap="1">
            <wp:simplePos x="0" y="0"/>
            <wp:positionH relativeFrom="column">
              <wp:posOffset>917575</wp:posOffset>
            </wp:positionH>
            <wp:positionV relativeFrom="paragraph">
              <wp:posOffset>528320</wp:posOffset>
            </wp:positionV>
            <wp:extent cx="3311525" cy="4144645"/>
            <wp:effectExtent l="0" t="0" r="3175" b="8255"/>
            <wp:wrapNone/>
            <wp:docPr id="1" name="图片 1" descr="7699b945367c377fa084c5260491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699b945367c377fa084c52604918c9"/>
                    <pic:cNvPicPr>
                      <a:picLocks noChangeAspect="1"/>
                    </pic:cNvPicPr>
                  </pic:nvPicPr>
                  <pic:blipFill>
                    <a:blip r:embed="rId8"/>
                    <a:stretch>
                      <a:fillRect/>
                    </a:stretch>
                  </pic:blipFill>
                  <pic:spPr>
                    <a:xfrm>
                      <a:off x="0" y="0"/>
                      <a:ext cx="3311525" cy="4144645"/>
                    </a:xfrm>
                    <a:prstGeom prst="rect">
                      <a:avLst/>
                    </a:prstGeom>
                  </pic:spPr>
                </pic:pic>
              </a:graphicData>
            </a:graphic>
          </wp:anchor>
        </w:drawing>
      </w:r>
    </w:p>
    <w:p w:rsidR="00D20335" w:rsidRDefault="00D20335">
      <w:pPr>
        <w:rPr>
          <w:rFonts w:ascii="黑体" w:eastAsia="黑体" w:hAnsi="黑体" w:cs="黑体"/>
          <w:sz w:val="32"/>
          <w:szCs w:val="32"/>
        </w:rPr>
      </w:pPr>
    </w:p>
    <w:sectPr w:rsidR="00D20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abstractNum w:abstractNumId="1" w15:restartNumberingAfterBreak="0">
    <w:nsid w:val="70529DCD"/>
    <w:multiLevelType w:val="singleLevel"/>
    <w:tmpl w:val="70529DC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AD"/>
    <w:rsid w:val="00043F8B"/>
    <w:rsid w:val="00070FB9"/>
    <w:rsid w:val="000814AC"/>
    <w:rsid w:val="001C53AD"/>
    <w:rsid w:val="00226B54"/>
    <w:rsid w:val="002414CB"/>
    <w:rsid w:val="003F2DAD"/>
    <w:rsid w:val="0047666D"/>
    <w:rsid w:val="006164AD"/>
    <w:rsid w:val="00781362"/>
    <w:rsid w:val="0087236D"/>
    <w:rsid w:val="00A62AF6"/>
    <w:rsid w:val="00B40880"/>
    <w:rsid w:val="00BB6D8C"/>
    <w:rsid w:val="00D20335"/>
    <w:rsid w:val="00D20D7B"/>
    <w:rsid w:val="00DF2149"/>
    <w:rsid w:val="00E25001"/>
    <w:rsid w:val="00F0075C"/>
    <w:rsid w:val="00F40F37"/>
    <w:rsid w:val="29D75740"/>
    <w:rsid w:val="2AB73920"/>
    <w:rsid w:val="33722C53"/>
    <w:rsid w:val="3965683F"/>
    <w:rsid w:val="47751D8D"/>
    <w:rsid w:val="4A484DA7"/>
    <w:rsid w:val="61D55E05"/>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0F1B06A-AE52-4000-AF4C-87BBFC0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337AB7"/>
      <w:u w:val="none"/>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hinalife.com/khf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1391</Characters>
  <Application>Microsoft Office Word</Application>
  <DocSecurity>0</DocSecurity>
  <Lines>11</Lines>
  <Paragraphs>3</Paragraphs>
  <ScaleCrop>false</ScaleCrop>
  <Company>P R 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2021-01-19T09:40:00Z</dcterms:created>
  <dcterms:modified xsi:type="dcterms:W3CDTF">2021-06-30T00:43:00Z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1432ED1345FA41C7BC06366C4E95768F</vt:lpwstr>
  </property>
</Properties>
</file>