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80" w:rsidRDefault="00426326">
      <w:pPr>
        <w:jc w:val="center"/>
        <w:rPr>
          <w:rFonts w:ascii="黑体" w:eastAsia="黑体" w:hAnsi="黑体" w:cs="黑体"/>
          <w:sz w:val="32"/>
          <w:szCs w:val="32"/>
        </w:rPr>
      </w:pPr>
      <w:r>
        <w:rPr>
          <w:rFonts w:ascii="黑体" w:eastAsia="黑体" w:hAnsi="黑体" w:cs="黑体" w:hint="eastAsia"/>
          <w:sz w:val="32"/>
          <w:szCs w:val="32"/>
        </w:rPr>
        <w:t>阳光人寿保险股份有限公司信息披露</w:t>
      </w: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AB5580" w:rsidRDefault="00426326">
      <w:pPr>
        <w:ind w:firstLineChars="300" w:firstLine="720"/>
        <w:rPr>
          <w:rFonts w:ascii="黑体" w:eastAsia="微软雅黑" w:hAnsi="黑体" w:cs="黑体"/>
          <w:sz w:val="24"/>
        </w:rPr>
      </w:pPr>
      <w:r>
        <w:rPr>
          <w:rFonts w:ascii="微软雅黑" w:eastAsia="微软雅黑" w:hAnsi="微软雅黑" w:cs="微软雅黑" w:hint="eastAsia"/>
          <w:color w:val="333333"/>
          <w:sz w:val="24"/>
          <w:shd w:val="clear" w:color="auto" w:fill="FFFFFF"/>
        </w:rPr>
        <w:t>阳光人寿保险股份有限公司（以下简称“阳光人寿”）成立于2007年12月17日，注册资本金183.425亿元人民币，是阳光保险集团股份有限公司旗下的全国性专业寿险公司，主要经营人寿保险、健康保险和意外伤害保险等一切人身险业务。</w:t>
      </w: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t>合作起</w:t>
      </w:r>
      <w:r w:rsidR="00A94375">
        <w:rPr>
          <w:rFonts w:ascii="黑体" w:eastAsia="黑体" w:hAnsi="黑体" w:cs="黑体" w:hint="eastAsia"/>
          <w:sz w:val="32"/>
          <w:szCs w:val="32"/>
        </w:rPr>
        <w:t>止</w:t>
      </w:r>
      <w:r>
        <w:rPr>
          <w:rFonts w:ascii="黑体" w:eastAsia="黑体" w:hAnsi="黑体" w:cs="黑体" w:hint="eastAsia"/>
          <w:sz w:val="32"/>
          <w:szCs w:val="32"/>
        </w:rPr>
        <w:t>时间</w:t>
      </w:r>
    </w:p>
    <w:p w:rsidR="00AB5580" w:rsidRDefault="00CA2FE8">
      <w:pPr>
        <w:rPr>
          <w:rFonts w:ascii="仿宋" w:eastAsia="仿宋" w:hAnsi="仿宋" w:cs="仿宋"/>
          <w:sz w:val="32"/>
          <w:szCs w:val="32"/>
        </w:rPr>
      </w:pPr>
      <w:r w:rsidRPr="00CA2FE8">
        <w:rPr>
          <w:rFonts w:ascii="微软雅黑" w:eastAsia="微软雅黑" w:hAnsi="微软雅黑" w:cs="微软雅黑" w:hint="eastAsia"/>
          <w:color w:val="333333"/>
          <w:sz w:val="24"/>
          <w:shd w:val="clear" w:color="auto" w:fill="FFFFFF"/>
        </w:rPr>
        <w:t>合作期限以我行与保险公司签订的《保险兼业代理合同》期限为准，本次合作有效期至202</w:t>
      </w:r>
      <w:r>
        <w:rPr>
          <w:rFonts w:ascii="微软雅黑" w:eastAsia="微软雅黑" w:hAnsi="微软雅黑" w:cs="微软雅黑"/>
          <w:color w:val="333333"/>
          <w:sz w:val="24"/>
          <w:shd w:val="clear" w:color="auto" w:fill="FFFFFF"/>
        </w:rPr>
        <w:t>1</w:t>
      </w:r>
      <w:r w:rsidRPr="00CA2FE8">
        <w:rPr>
          <w:rFonts w:ascii="微软雅黑" w:eastAsia="微软雅黑" w:hAnsi="微软雅黑" w:cs="微软雅黑" w:hint="eastAsia"/>
          <w:color w:val="333333"/>
          <w:sz w:val="24"/>
          <w:shd w:val="clear" w:color="auto" w:fill="FFFFFF"/>
        </w:rPr>
        <w:t>年</w:t>
      </w:r>
      <w:r>
        <w:rPr>
          <w:rFonts w:ascii="微软雅黑" w:eastAsia="微软雅黑" w:hAnsi="微软雅黑" w:cs="微软雅黑"/>
          <w:color w:val="333333"/>
          <w:sz w:val="24"/>
          <w:shd w:val="clear" w:color="auto" w:fill="FFFFFF"/>
        </w:rPr>
        <w:t>12</w:t>
      </w:r>
      <w:r w:rsidRPr="00CA2FE8">
        <w:rPr>
          <w:rFonts w:ascii="微软雅黑" w:eastAsia="微软雅黑" w:hAnsi="微软雅黑" w:cs="微软雅黑" w:hint="eastAsia"/>
          <w:color w:val="333333"/>
          <w:sz w:val="24"/>
          <w:shd w:val="clear" w:color="auto" w:fill="FFFFFF"/>
        </w:rPr>
        <w:t>月</w:t>
      </w:r>
      <w:r>
        <w:rPr>
          <w:rFonts w:ascii="微软雅黑" w:eastAsia="微软雅黑" w:hAnsi="微软雅黑" w:cs="微软雅黑"/>
          <w:color w:val="333333"/>
          <w:sz w:val="24"/>
          <w:shd w:val="clear" w:color="auto" w:fill="FFFFFF"/>
        </w:rPr>
        <w:t>31</w:t>
      </w:r>
      <w:r w:rsidRPr="00CA2FE8">
        <w:rPr>
          <w:rFonts w:ascii="微软雅黑" w:eastAsia="微软雅黑" w:hAnsi="微软雅黑" w:cs="微软雅黑" w:hint="eastAsia"/>
          <w:color w:val="333333"/>
          <w:sz w:val="24"/>
          <w:shd w:val="clear" w:color="auto" w:fill="FFFFFF"/>
        </w:rPr>
        <w:t>日。</w:t>
      </w: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t>合作范围</w:t>
      </w:r>
    </w:p>
    <w:p w:rsidR="00AB5580" w:rsidRDefault="00CA2FE8">
      <w:pPr>
        <w:rPr>
          <w:rFonts w:ascii="仿宋" w:eastAsia="微软雅黑" w:hAnsi="仿宋" w:cs="仿宋"/>
          <w:sz w:val="32"/>
          <w:szCs w:val="32"/>
        </w:rPr>
      </w:pPr>
      <w:r w:rsidRPr="00CA2FE8">
        <w:rPr>
          <w:rFonts w:ascii="微软雅黑" w:eastAsia="微软雅黑" w:hAnsi="微软雅黑" w:cs="微软雅黑" w:hint="eastAsia"/>
          <w:color w:val="333333"/>
          <w:sz w:val="24"/>
          <w:shd w:val="clear" w:color="auto" w:fill="FFFFFF"/>
        </w:rPr>
        <w:t>业务合作范围：代理销售保险产品、代理收取保险保费及《保险兼业代理业务合作协议》中约定的其他业务。</w:t>
      </w: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t>公司偿付能力相关信息披露</w:t>
      </w:r>
    </w:p>
    <w:p w:rsidR="00AB5580" w:rsidRPr="00426326" w:rsidRDefault="00426326">
      <w:pPr>
        <w:widowControl/>
        <w:spacing w:after="240"/>
        <w:jc w:val="left"/>
        <w:rPr>
          <w:sz w:val="24"/>
        </w:rPr>
      </w:pPr>
      <w:r w:rsidRPr="00426326">
        <w:rPr>
          <w:rFonts w:ascii="微软雅黑" w:eastAsia="微软雅黑" w:hAnsi="微软雅黑" w:cs="微软雅黑"/>
          <w:kern w:val="0"/>
          <w:sz w:val="24"/>
          <w:lang/>
        </w:rPr>
        <w:t>我司最近四个季度的偿二代综合偿付能力充足率和核心偿付能力充足率如下所示，满足中国银保监会关于偿付能力充足率的要求。</w:t>
      </w:r>
    </w:p>
    <w:tbl>
      <w:tblPr>
        <w:tblW w:w="84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2068"/>
        <w:gridCol w:w="1695"/>
        <w:gridCol w:w="1545"/>
        <w:gridCol w:w="1500"/>
        <w:gridCol w:w="1605"/>
      </w:tblGrid>
      <w:tr w:rsidR="00426326" w:rsidRPr="00426326">
        <w:tc>
          <w:tcPr>
            <w:tcW w:w="20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left"/>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2020年2季度</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2020年3季度</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2020年4季度</w:t>
            </w:r>
          </w:p>
        </w:tc>
        <w:tc>
          <w:tcPr>
            <w:tcW w:w="1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2021年1季度</w:t>
            </w:r>
          </w:p>
        </w:tc>
      </w:tr>
      <w:tr w:rsidR="00426326" w:rsidRPr="00426326">
        <w:tc>
          <w:tcPr>
            <w:tcW w:w="20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核心偿付能力充足率</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188.09%</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191.72%</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187.61%</w:t>
            </w:r>
          </w:p>
        </w:tc>
        <w:tc>
          <w:tcPr>
            <w:tcW w:w="1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178.09%</w:t>
            </w:r>
          </w:p>
        </w:tc>
      </w:tr>
      <w:tr w:rsidR="00426326" w:rsidRPr="00426326">
        <w:tc>
          <w:tcPr>
            <w:tcW w:w="20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综合偿付能力充足率</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206.97%</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210.26%</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205.84%</w:t>
            </w:r>
          </w:p>
        </w:tc>
        <w:tc>
          <w:tcPr>
            <w:tcW w:w="1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209.68%</w:t>
            </w:r>
          </w:p>
        </w:tc>
      </w:tr>
    </w:tbl>
    <w:p w:rsidR="00AB5580" w:rsidRPr="00426326" w:rsidRDefault="00426326">
      <w:pPr>
        <w:widowControl/>
        <w:jc w:val="left"/>
        <w:rPr>
          <w:sz w:val="24"/>
        </w:rPr>
      </w:pPr>
      <w:r w:rsidRPr="00426326">
        <w:rPr>
          <w:rFonts w:ascii="微软雅黑" w:eastAsia="微软雅黑" w:hAnsi="微软雅黑" w:cs="微软雅黑" w:hint="eastAsia"/>
          <w:kern w:val="0"/>
          <w:sz w:val="24"/>
          <w:lang/>
        </w:rPr>
        <w:t>我司最近四次风险综合评级（分类监管）结果如下所示</w:t>
      </w:r>
      <w:bookmarkStart w:id="0" w:name="_GoBack"/>
      <w:bookmarkEnd w:id="0"/>
      <w:r w:rsidRPr="00426326">
        <w:rPr>
          <w:rFonts w:ascii="微软雅黑" w:eastAsia="微软雅黑" w:hAnsi="微软雅黑" w:cs="微软雅黑" w:hint="eastAsia"/>
          <w:kern w:val="0"/>
          <w:sz w:val="24"/>
          <w:lang/>
        </w:rPr>
        <w:t>：</w:t>
      </w:r>
    </w:p>
    <w:tbl>
      <w:tblPr>
        <w:tblW w:w="90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2796"/>
        <w:gridCol w:w="1566"/>
        <w:gridCol w:w="1566"/>
        <w:gridCol w:w="1566"/>
        <w:gridCol w:w="1566"/>
      </w:tblGrid>
      <w:tr w:rsidR="00426326" w:rsidRPr="004263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left"/>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2020年2季度</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2020年3季度</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2020年4季度</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2021年1季度</w:t>
            </w:r>
          </w:p>
        </w:tc>
      </w:tr>
      <w:tr w:rsidR="00AB5580" w:rsidRPr="004263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风险综合评级（分类监管）</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B5580" w:rsidRPr="00426326" w:rsidRDefault="00426326">
            <w:pPr>
              <w:widowControl/>
              <w:jc w:val="center"/>
              <w:rPr>
                <w:rFonts w:ascii="微软雅黑" w:eastAsia="微软雅黑" w:hAnsi="微软雅黑" w:cs="微软雅黑"/>
                <w:sz w:val="19"/>
                <w:szCs w:val="19"/>
              </w:rPr>
            </w:pPr>
            <w:r w:rsidRPr="00426326">
              <w:rPr>
                <w:rFonts w:ascii="微软雅黑" w:eastAsia="微软雅黑" w:hAnsi="微软雅黑" w:cs="微软雅黑" w:hint="eastAsia"/>
                <w:kern w:val="0"/>
                <w:sz w:val="19"/>
                <w:szCs w:val="19"/>
                <w:lang/>
              </w:rPr>
              <w:t>A</w:t>
            </w:r>
          </w:p>
        </w:tc>
      </w:tr>
    </w:tbl>
    <w:p w:rsidR="00AB5580" w:rsidRPr="00426326" w:rsidRDefault="00AB5580">
      <w:pPr>
        <w:pStyle w:val="a7"/>
        <w:ind w:firstLineChars="0" w:firstLine="0"/>
        <w:rPr>
          <w:sz w:val="28"/>
          <w:szCs w:val="28"/>
        </w:rPr>
      </w:pP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lastRenderedPageBreak/>
        <w:t>互联网保险产品及保单的查询和验真途径</w:t>
      </w:r>
    </w:p>
    <w:p w:rsidR="00AB5580" w:rsidRDefault="00426326">
      <w:pPr>
        <w:wordWrap w:val="0"/>
        <w:autoSpaceDE w:val="0"/>
        <w:autoSpaceDN w:val="0"/>
        <w:jc w:val="left"/>
        <w:textAlignment w:val="bottom"/>
        <w:rPr>
          <w:rFonts w:ascii="微软雅黑" w:eastAsia="微软雅黑" w:hAnsi="微软雅黑" w:cs="微软雅黑"/>
          <w:sz w:val="24"/>
        </w:rPr>
      </w:pPr>
      <w:r>
        <w:rPr>
          <w:rFonts w:ascii="微软雅黑" w:eastAsia="微软雅黑" w:hAnsi="微软雅黑" w:cs="微软雅黑" w:hint="eastAsia"/>
          <w:sz w:val="24"/>
        </w:rPr>
        <w:t>保险产品查询途径：</w:t>
      </w:r>
      <w:hyperlink r:id="rId8" w:history="1">
        <w:r>
          <w:rPr>
            <w:rStyle w:val="a6"/>
            <w:rFonts w:ascii="微软雅黑" w:eastAsia="微软雅黑" w:hAnsi="微软雅黑" w:cs="微软雅黑" w:hint="eastAsia"/>
            <w:sz w:val="24"/>
          </w:rPr>
          <w:t>https://wecare.sinosig.com/common/customerservice/html/Pilu_prdtClause.shtml</w:t>
        </w:r>
      </w:hyperlink>
    </w:p>
    <w:p w:rsidR="00AB5580" w:rsidRDefault="00426326">
      <w:pPr>
        <w:wordWrap w:val="0"/>
        <w:autoSpaceDE w:val="0"/>
        <w:autoSpaceDN w:val="0"/>
        <w:jc w:val="left"/>
        <w:textAlignment w:val="bottom"/>
        <w:rPr>
          <w:rFonts w:ascii="仿宋" w:eastAsia="仿宋" w:hAnsi="仿宋" w:cs="仿宋"/>
          <w:sz w:val="32"/>
          <w:szCs w:val="32"/>
        </w:rPr>
      </w:pPr>
      <w:r>
        <w:rPr>
          <w:rFonts w:ascii="微软雅黑" w:eastAsia="微软雅黑" w:hAnsi="微软雅黑" w:cs="微软雅黑" w:hint="eastAsia"/>
          <w:sz w:val="24"/>
        </w:rPr>
        <w:t>保单查询路径：</w:t>
      </w:r>
      <w:r>
        <w:rPr>
          <w:rStyle w:val="a6"/>
          <w:rFonts w:ascii="微软雅黑" w:eastAsia="微软雅黑" w:hAnsi="微软雅黑" w:cs="微软雅黑" w:hint="eastAsia"/>
          <w:sz w:val="24"/>
        </w:rPr>
        <w:t>https://home.sinosig.com/pc/policy/policy!index.action?selectedModuleId=Lpolicy</w:t>
      </w:r>
    </w:p>
    <w:p w:rsidR="00AB5580" w:rsidRDefault="00AB5580">
      <w:pPr>
        <w:rPr>
          <w:rFonts w:ascii="黑体" w:eastAsia="黑体" w:hAnsi="黑体" w:cs="黑体"/>
          <w:sz w:val="32"/>
          <w:szCs w:val="32"/>
        </w:rPr>
      </w:pP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t>省级分支机构和落地服务机构的名称、办公地址、电话号码等</w:t>
      </w:r>
    </w:p>
    <w:tbl>
      <w:tblPr>
        <w:tblStyle w:val="a5"/>
        <w:tblW w:w="8522" w:type="dxa"/>
        <w:tblLayout w:type="fixed"/>
        <w:tblLook w:val="04A0"/>
      </w:tblPr>
      <w:tblGrid>
        <w:gridCol w:w="2840"/>
        <w:gridCol w:w="2841"/>
        <w:gridCol w:w="2841"/>
      </w:tblGrid>
      <w:tr w:rsidR="00AB5580">
        <w:tc>
          <w:tcPr>
            <w:tcW w:w="2840"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机构名称</w:t>
            </w:r>
          </w:p>
        </w:tc>
        <w:tc>
          <w:tcPr>
            <w:tcW w:w="2841"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营业场所</w:t>
            </w:r>
          </w:p>
        </w:tc>
        <w:tc>
          <w:tcPr>
            <w:tcW w:w="2841"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联系电话</w:t>
            </w:r>
          </w:p>
        </w:tc>
      </w:tr>
      <w:tr w:rsidR="00AB5580">
        <w:tc>
          <w:tcPr>
            <w:tcW w:w="2840"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阳光人寿保险股份有限公司广东分公司</w:t>
            </w:r>
          </w:p>
        </w:tc>
        <w:tc>
          <w:tcPr>
            <w:tcW w:w="2841"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广州市天河区林和西路3-15号（单号）2307-2313、2316单元</w:t>
            </w:r>
          </w:p>
        </w:tc>
        <w:tc>
          <w:tcPr>
            <w:tcW w:w="2841"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020-28382193</w:t>
            </w:r>
          </w:p>
        </w:tc>
      </w:tr>
      <w:tr w:rsidR="00AB5580">
        <w:tc>
          <w:tcPr>
            <w:tcW w:w="2840"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阳光人寿保险股份有限公司东莞中心支公司</w:t>
            </w:r>
          </w:p>
        </w:tc>
        <w:tc>
          <w:tcPr>
            <w:tcW w:w="2841"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广东省东莞市东城街道鸿福东路1号国贸中心1006、1007、1008室</w:t>
            </w:r>
          </w:p>
        </w:tc>
        <w:tc>
          <w:tcPr>
            <w:tcW w:w="2841" w:type="dxa"/>
          </w:tcPr>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0769-88981888</w:t>
            </w:r>
          </w:p>
        </w:tc>
      </w:tr>
    </w:tbl>
    <w:p w:rsidR="00AB5580" w:rsidRDefault="00AB5580">
      <w:pPr>
        <w:rPr>
          <w:rFonts w:ascii="黑体" w:eastAsia="黑体" w:hAnsi="黑体" w:cs="黑体"/>
          <w:sz w:val="32"/>
          <w:szCs w:val="32"/>
        </w:rPr>
      </w:pP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t>针对消费者个人信息、投保交易信息和交易安全的保障措施</w:t>
      </w:r>
    </w:p>
    <w:p w:rsidR="00AB5580" w:rsidRDefault="00426326">
      <w:pPr>
        <w:ind w:firstLineChars="200" w:firstLine="480"/>
        <w:rPr>
          <w:rFonts w:ascii="微软雅黑" w:eastAsia="微软雅黑" w:hAnsi="微软雅黑" w:cs="微软雅黑"/>
          <w:sz w:val="24"/>
        </w:rPr>
      </w:pPr>
      <w:r>
        <w:rPr>
          <w:rFonts w:ascii="微软雅黑" w:eastAsia="微软雅黑" w:hAnsi="微软雅黑" w:cs="微软雅黑" w:hint="eastAsia"/>
          <w:sz w:val="24"/>
        </w:rPr>
        <w:t>我们将对您所提供的资料进行严格的管理及保护。我们将使用相应的技术，防止您的个人资料丢失、被盗用或遭篡改。我们将采取各种合适的物理、电子和管理方面的措施来保护您的个人数据，以实现对数据安全的承诺。我们会采取各种实际措施保证个人信息保存的合理期限 , 并将遵守所有关于可辨识个人信息</w:t>
      </w:r>
      <w:r>
        <w:rPr>
          <w:rFonts w:ascii="微软雅黑" w:eastAsia="微软雅黑" w:hAnsi="微软雅黑" w:cs="微软雅黑" w:hint="eastAsia"/>
          <w:sz w:val="24"/>
        </w:rPr>
        <w:lastRenderedPageBreak/>
        <w:t>保存的法规要求。</w:t>
      </w:r>
    </w:p>
    <w:p w:rsidR="00AB5580" w:rsidRDefault="00426326">
      <w:pPr>
        <w:numPr>
          <w:ilvl w:val="0"/>
          <w:numId w:val="1"/>
        </w:numPr>
        <w:rPr>
          <w:rFonts w:ascii="黑体" w:eastAsia="黑体" w:hAnsi="黑体" w:cs="黑体"/>
          <w:sz w:val="32"/>
          <w:szCs w:val="32"/>
        </w:rPr>
      </w:pPr>
      <w:r>
        <w:rPr>
          <w:rFonts w:ascii="黑体" w:eastAsia="黑体" w:hAnsi="黑体" w:cs="黑体" w:hint="eastAsia"/>
          <w:sz w:val="32"/>
          <w:szCs w:val="32"/>
        </w:rPr>
        <w:t>理赔、保全、投诉等客户服务</w:t>
      </w:r>
    </w:p>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（1）理赔、保全等客户服务及投诉渠道：</w:t>
      </w:r>
    </w:p>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①公司官网、官微、APP受理：登录阳光保险官网www.sinosig.com、微信关注“阳光保险”“阳光人寿”官微或登录阳光人寿“我家阳光”APP。</w:t>
      </w:r>
    </w:p>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②电话受理：拨打全国统一客服专线和客户维权电话95510。</w:t>
      </w:r>
    </w:p>
    <w:p w:rsidR="00AB5580" w:rsidRDefault="00426326">
      <w:pPr>
        <w:rPr>
          <w:rFonts w:ascii="微软雅黑" w:eastAsia="微软雅黑" w:hAnsi="微软雅黑" w:cs="微软雅黑"/>
          <w:sz w:val="24"/>
        </w:rPr>
      </w:pPr>
      <w:r>
        <w:rPr>
          <w:rFonts w:ascii="微软雅黑" w:eastAsia="微软雅黑" w:hAnsi="微软雅黑" w:cs="微软雅黑" w:hint="eastAsia"/>
          <w:sz w:val="24"/>
        </w:rPr>
        <w:t>③亲访受理：前往阳光人寿营业网点，提出相关申请。</w:t>
      </w:r>
    </w:p>
    <w:p w:rsidR="00AB5580" w:rsidRDefault="00426326">
      <w:pPr>
        <w:numPr>
          <w:ilvl w:val="0"/>
          <w:numId w:val="2"/>
        </w:numPr>
        <w:rPr>
          <w:rFonts w:ascii="微软雅黑" w:eastAsia="微软雅黑" w:hAnsi="微软雅黑" w:cs="微软雅黑"/>
          <w:sz w:val="24"/>
        </w:rPr>
      </w:pPr>
      <w:r>
        <w:rPr>
          <w:rFonts w:ascii="微软雅黑" w:eastAsia="微软雅黑" w:hAnsi="微软雅黑" w:cs="微软雅黑" w:hint="eastAsia"/>
          <w:sz w:val="24"/>
        </w:rPr>
        <w:t>投诉处理程序与时效：案件受理后公司将在第一时间响应，对于事实清楚的投诉案件，自受理之日起10个工作日内处理完毕。对于原因复杂需进一步调查核实的将及时向投诉人反馈处理过程。阳光人寿将秉承以客户为主的客户服务理念，认真践行各项服务承诺，做好客户权益保护工作，请广大客户监督、指导。</w:t>
      </w:r>
    </w:p>
    <w:p w:rsidR="00AB5580" w:rsidRDefault="00426326">
      <w:pPr>
        <w:numPr>
          <w:ilvl w:val="0"/>
          <w:numId w:val="2"/>
        </w:numPr>
        <w:rPr>
          <w:rFonts w:ascii="微软雅黑" w:eastAsia="微软雅黑" w:hAnsi="微软雅黑" w:cs="微软雅黑"/>
          <w:sz w:val="24"/>
        </w:rPr>
      </w:pPr>
      <w:r>
        <w:rPr>
          <w:rFonts w:ascii="微软雅黑" w:eastAsia="微软雅黑" w:hAnsi="微软雅黑" w:cs="微软雅黑" w:hint="eastAsia"/>
          <w:sz w:val="24"/>
        </w:rPr>
        <w:t>客户服务电话：95510</w:t>
      </w:r>
    </w:p>
    <w:p w:rsidR="00AB5580" w:rsidRDefault="00AB5580">
      <w:pPr>
        <w:pStyle w:val="a7"/>
        <w:spacing w:line="0" w:lineRule="atLeast"/>
        <w:ind w:left="420" w:firstLineChars="0" w:firstLine="0"/>
        <w:rPr>
          <w:sz w:val="28"/>
          <w:szCs w:val="28"/>
        </w:rPr>
      </w:pPr>
    </w:p>
    <w:p w:rsidR="00AB5580" w:rsidRDefault="00AB5580">
      <w:pPr>
        <w:rPr>
          <w:rFonts w:ascii="黑体" w:eastAsia="黑体" w:hAnsi="黑体" w:cs="黑体"/>
          <w:sz w:val="32"/>
          <w:szCs w:val="32"/>
        </w:rPr>
      </w:pPr>
    </w:p>
    <w:sectPr w:rsidR="00AB5580" w:rsidSect="000462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562" w:rsidRDefault="00332562" w:rsidP="00A94375">
      <w:r>
        <w:separator/>
      </w:r>
    </w:p>
  </w:endnote>
  <w:endnote w:type="continuationSeparator" w:id="1">
    <w:p w:rsidR="00332562" w:rsidRDefault="00332562" w:rsidP="00A9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562" w:rsidRDefault="00332562" w:rsidP="00A94375">
      <w:r>
        <w:separator/>
      </w:r>
    </w:p>
  </w:footnote>
  <w:footnote w:type="continuationSeparator" w:id="1">
    <w:p w:rsidR="00332562" w:rsidRDefault="00332562" w:rsidP="00A94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578C8"/>
    <w:multiLevelType w:val="singleLevel"/>
    <w:tmpl w:val="F76578C8"/>
    <w:lvl w:ilvl="0">
      <w:start w:val="1"/>
      <w:numFmt w:val="chineseCounting"/>
      <w:suff w:val="nothing"/>
      <w:lvlText w:val="%1、"/>
      <w:lvlJc w:val="left"/>
      <w:rPr>
        <w:rFonts w:hint="eastAsia"/>
      </w:rPr>
    </w:lvl>
  </w:abstractNum>
  <w:abstractNum w:abstractNumId="1">
    <w:nsid w:val="6052F3E9"/>
    <w:multiLevelType w:val="singleLevel"/>
    <w:tmpl w:val="6052F3E9"/>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3AD"/>
    <w:rsid w:val="00043F8B"/>
    <w:rsid w:val="00046218"/>
    <w:rsid w:val="00070FB9"/>
    <w:rsid w:val="000814AC"/>
    <w:rsid w:val="001C53AD"/>
    <w:rsid w:val="00226B54"/>
    <w:rsid w:val="002414CB"/>
    <w:rsid w:val="00332562"/>
    <w:rsid w:val="003F2DAD"/>
    <w:rsid w:val="00426326"/>
    <w:rsid w:val="0047666D"/>
    <w:rsid w:val="006164AD"/>
    <w:rsid w:val="00781362"/>
    <w:rsid w:val="0087236D"/>
    <w:rsid w:val="00A62AF6"/>
    <w:rsid w:val="00A94375"/>
    <w:rsid w:val="00AB5580"/>
    <w:rsid w:val="00BB6D8C"/>
    <w:rsid w:val="00CA2FE8"/>
    <w:rsid w:val="00D20D7B"/>
    <w:rsid w:val="00DF2149"/>
    <w:rsid w:val="00E25001"/>
    <w:rsid w:val="00F0075C"/>
    <w:rsid w:val="00F40F37"/>
    <w:rsid w:val="33722C53"/>
    <w:rsid w:val="3965683F"/>
    <w:rsid w:val="451B5546"/>
    <w:rsid w:val="47751D8D"/>
    <w:rsid w:val="543E1DED"/>
    <w:rsid w:val="7DFE5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21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46218"/>
    <w:pPr>
      <w:tabs>
        <w:tab w:val="center" w:pos="4153"/>
        <w:tab w:val="right" w:pos="8306"/>
      </w:tabs>
      <w:snapToGrid w:val="0"/>
      <w:jc w:val="left"/>
    </w:pPr>
    <w:rPr>
      <w:sz w:val="18"/>
      <w:szCs w:val="18"/>
    </w:rPr>
  </w:style>
  <w:style w:type="paragraph" w:styleId="a4">
    <w:name w:val="header"/>
    <w:basedOn w:val="a"/>
    <w:link w:val="Char0"/>
    <w:qFormat/>
    <w:rsid w:val="00046218"/>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0462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046218"/>
    <w:rPr>
      <w:color w:val="0000FF"/>
      <w:u w:val="single"/>
    </w:rPr>
  </w:style>
  <w:style w:type="character" w:customStyle="1" w:styleId="Char0">
    <w:name w:val="页眉 Char"/>
    <w:basedOn w:val="a0"/>
    <w:link w:val="a4"/>
    <w:rsid w:val="00046218"/>
    <w:rPr>
      <w:kern w:val="2"/>
      <w:sz w:val="18"/>
      <w:szCs w:val="18"/>
    </w:rPr>
  </w:style>
  <w:style w:type="character" w:customStyle="1" w:styleId="Char">
    <w:name w:val="页脚 Char"/>
    <w:basedOn w:val="a0"/>
    <w:link w:val="a3"/>
    <w:rsid w:val="00046218"/>
    <w:rPr>
      <w:kern w:val="2"/>
      <w:sz w:val="18"/>
      <w:szCs w:val="18"/>
    </w:rPr>
  </w:style>
  <w:style w:type="paragraph" w:styleId="a7">
    <w:name w:val="List Paragraph"/>
    <w:basedOn w:val="a"/>
    <w:uiPriority w:val="99"/>
    <w:unhideWhenUsed/>
    <w:rsid w:val="0004621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ecare.sinosig.com/common/customerservice/html/Pilu_prdtClaus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222</Words>
  <Characters>1272</Characters>
  <Application>Microsoft Office Word</Application>
  <DocSecurity>0</DocSecurity>
  <Lines>10</Lines>
  <Paragraphs>2</Paragraphs>
  <ScaleCrop>false</ScaleCrop>
  <Company>P R C</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2021-01-19T09:40:00Z</dcterms:created>
  <dcterms:modified xsi:type="dcterms:W3CDTF">2021-06-30T09:19:00Z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