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903D8" w14:textId="77777777" w:rsidR="00B26894" w:rsidRDefault="00B26894" w:rsidP="00B26894">
      <w:pPr>
        <w:pStyle w:val="p1"/>
        <w:spacing w:before="0" w:beforeAutospacing="0" w:after="150" w:afterAutospacing="0"/>
        <w:rPr>
          <w:rFonts w:ascii="Arial" w:hAnsi="Arial" w:cs="Arial"/>
          <w:color w:val="111111"/>
          <w:lang w:val="en"/>
        </w:rPr>
      </w:pPr>
      <w:r>
        <w:rPr>
          <w:rStyle w:val="s11"/>
          <w:rFonts w:ascii="Arial" w:hAnsi="Arial" w:cs="Arial"/>
          <w:color w:val="111111"/>
          <w:lang w:val="en"/>
        </w:rPr>
        <w:t>关于印发《沙田镇农村（社区）集体资产交易办法》的通知</w:t>
      </w:r>
    </w:p>
    <w:p w14:paraId="49654DBC" w14:textId="77777777" w:rsidR="00B26894" w:rsidRDefault="00B26894" w:rsidP="00B26894">
      <w:pPr>
        <w:pStyle w:val="p3"/>
        <w:spacing w:before="0" w:beforeAutospacing="0" w:after="150" w:afterAutospacing="0"/>
        <w:rPr>
          <w:rFonts w:ascii="Arial" w:hAnsi="Arial" w:cs="Arial"/>
          <w:color w:val="111111"/>
          <w:lang w:val="en"/>
        </w:rPr>
      </w:pPr>
      <w:r>
        <w:rPr>
          <w:rFonts w:ascii="Arial" w:hAnsi="Arial" w:cs="Arial"/>
          <w:color w:val="111111"/>
          <w:lang w:val="en"/>
        </w:rPr>
        <w:t>镇港有关部门、单位，各村（社区）：</w:t>
      </w:r>
    </w:p>
    <w:p w14:paraId="4E63FE16"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《沙田镇农村（社区）集体资产交易办法》业经镇港党政联席会议讨论通过，现印发给你们，请认真贯彻执行。</w:t>
      </w:r>
    </w:p>
    <w:p w14:paraId="6D177532" w14:textId="77777777" w:rsidR="00B26894" w:rsidRDefault="00B26894" w:rsidP="00B26894">
      <w:pPr>
        <w:pStyle w:val="p4"/>
        <w:spacing w:before="0" w:beforeAutospacing="0" w:after="150" w:afterAutospacing="0"/>
        <w:rPr>
          <w:rFonts w:ascii="Arial" w:hAnsi="Arial" w:cs="Arial"/>
          <w:color w:val="111111"/>
          <w:lang w:val="en"/>
        </w:rPr>
      </w:pPr>
      <w:r>
        <w:rPr>
          <w:rFonts w:ascii="Arial" w:hAnsi="Arial" w:cs="Arial"/>
          <w:color w:val="111111"/>
          <w:lang w:val="en"/>
        </w:rPr>
        <w:t>沙田镇人民政府办公室</w:t>
      </w:r>
    </w:p>
    <w:p w14:paraId="37F7EBE3" w14:textId="77777777" w:rsidR="00B26894" w:rsidRDefault="00B26894" w:rsidP="00B26894">
      <w:pPr>
        <w:pStyle w:val="p4"/>
        <w:spacing w:before="0" w:beforeAutospacing="0" w:after="150" w:afterAutospacing="0"/>
        <w:rPr>
          <w:rFonts w:ascii="Arial" w:hAnsi="Arial" w:cs="Arial"/>
          <w:color w:val="111111"/>
          <w:lang w:val="en"/>
        </w:rPr>
      </w:pPr>
      <w:r>
        <w:rPr>
          <w:rFonts w:ascii="Arial" w:hAnsi="Arial" w:cs="Arial"/>
          <w:color w:val="111111"/>
          <w:lang w:val="en"/>
        </w:rPr>
        <w:t>2015</w:t>
      </w:r>
      <w:r>
        <w:rPr>
          <w:rFonts w:ascii="Arial" w:hAnsi="Arial" w:cs="Arial"/>
          <w:color w:val="111111"/>
          <w:lang w:val="en"/>
        </w:rPr>
        <w:t>年</w:t>
      </w:r>
      <w:r>
        <w:rPr>
          <w:rFonts w:ascii="Arial" w:hAnsi="Arial" w:cs="Arial"/>
          <w:color w:val="111111"/>
          <w:lang w:val="en"/>
        </w:rPr>
        <w:t>8</w:t>
      </w:r>
      <w:r>
        <w:rPr>
          <w:rFonts w:ascii="Arial" w:hAnsi="Arial" w:cs="Arial"/>
          <w:color w:val="111111"/>
          <w:lang w:val="en"/>
        </w:rPr>
        <w:t>月</w:t>
      </w:r>
      <w:r>
        <w:rPr>
          <w:rFonts w:ascii="Arial" w:hAnsi="Arial" w:cs="Arial"/>
          <w:color w:val="111111"/>
          <w:lang w:val="en"/>
        </w:rPr>
        <w:t>5</w:t>
      </w:r>
      <w:r>
        <w:rPr>
          <w:rFonts w:ascii="Arial" w:hAnsi="Arial" w:cs="Arial"/>
          <w:color w:val="111111"/>
          <w:lang w:val="en"/>
        </w:rPr>
        <w:t>日</w:t>
      </w:r>
    </w:p>
    <w:p w14:paraId="3D212C85" w14:textId="77777777" w:rsidR="00B26894" w:rsidRDefault="00B26894" w:rsidP="00B26894">
      <w:pPr>
        <w:pStyle w:val="p1"/>
        <w:spacing w:before="0" w:beforeAutospacing="0" w:after="150" w:afterAutospacing="0"/>
        <w:rPr>
          <w:rFonts w:ascii="Arial" w:hAnsi="Arial" w:cs="Arial"/>
          <w:color w:val="111111"/>
          <w:lang w:val="en"/>
        </w:rPr>
      </w:pPr>
      <w:r>
        <w:rPr>
          <w:rStyle w:val="s11"/>
          <w:rFonts w:ascii="Arial" w:hAnsi="Arial" w:cs="Arial"/>
          <w:color w:val="111111"/>
          <w:lang w:val="en"/>
        </w:rPr>
        <w:t>沙田镇农村（社区）集体资产交易办法</w:t>
      </w:r>
    </w:p>
    <w:p w14:paraId="3CB5C7FA" w14:textId="77777777" w:rsidR="00B26894" w:rsidRDefault="00B26894" w:rsidP="00B26894">
      <w:pPr>
        <w:pStyle w:val="p5"/>
        <w:spacing w:before="0" w:beforeAutospacing="0" w:after="150" w:afterAutospacing="0"/>
        <w:rPr>
          <w:rFonts w:ascii="Arial" w:hAnsi="Arial" w:cs="Arial"/>
          <w:color w:val="111111"/>
          <w:lang w:val="en"/>
        </w:rPr>
      </w:pPr>
      <w:r>
        <w:rPr>
          <w:rStyle w:val="s11"/>
          <w:rFonts w:ascii="Arial" w:hAnsi="Arial" w:cs="Arial"/>
          <w:color w:val="111111"/>
          <w:lang w:val="en"/>
        </w:rPr>
        <w:t>第一章</w:t>
      </w:r>
      <w:r>
        <w:rPr>
          <w:rStyle w:val="s11"/>
          <w:rFonts w:ascii="Arial" w:hAnsi="Arial" w:cs="Arial"/>
          <w:color w:val="111111"/>
          <w:lang w:val="en"/>
        </w:rPr>
        <w:t xml:space="preserve"> </w:t>
      </w:r>
      <w:r>
        <w:rPr>
          <w:rStyle w:val="s11"/>
          <w:rFonts w:ascii="Arial" w:hAnsi="Arial" w:cs="Arial"/>
          <w:color w:val="111111"/>
          <w:lang w:val="en"/>
        </w:rPr>
        <w:t>总则</w:t>
      </w:r>
    </w:p>
    <w:p w14:paraId="24C59D9C"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第一条</w:t>
      </w:r>
      <w:r>
        <w:rPr>
          <w:rFonts w:ascii="Arial" w:hAnsi="Arial" w:cs="Arial"/>
          <w:color w:val="111111"/>
          <w:lang w:val="en"/>
        </w:rPr>
        <w:t xml:space="preserve"> </w:t>
      </w:r>
      <w:r>
        <w:rPr>
          <w:rFonts w:ascii="Arial" w:hAnsi="Arial" w:cs="Arial"/>
          <w:color w:val="111111"/>
          <w:lang w:val="en"/>
        </w:rPr>
        <w:t>为进一步加强我镇农村（社区）集体（以下简称</w:t>
      </w:r>
      <w:r>
        <w:rPr>
          <w:rFonts w:ascii="Arial" w:hAnsi="Arial" w:cs="Arial"/>
          <w:color w:val="111111"/>
          <w:lang w:val="en"/>
        </w:rPr>
        <w:t>“</w:t>
      </w:r>
      <w:r>
        <w:rPr>
          <w:rFonts w:ascii="Arial" w:hAnsi="Arial" w:cs="Arial"/>
          <w:color w:val="111111"/>
          <w:lang w:val="en"/>
        </w:rPr>
        <w:t>集体</w:t>
      </w:r>
      <w:r>
        <w:rPr>
          <w:rFonts w:ascii="Arial" w:hAnsi="Arial" w:cs="Arial"/>
          <w:color w:val="111111"/>
          <w:lang w:val="en"/>
        </w:rPr>
        <w:t>”</w:t>
      </w:r>
      <w:r>
        <w:rPr>
          <w:rFonts w:ascii="Arial" w:hAnsi="Arial" w:cs="Arial"/>
          <w:color w:val="111111"/>
          <w:lang w:val="en"/>
        </w:rPr>
        <w:t>）资产的交易管理，规范集体资产交易行为，确保集体资产交易过程公开、公平、公正，推动集体资产优化配置和保值增值，推进农村基层廉政建设，促进农村社会和谐稳定，根据《东莞市农村（社区）集体资产管理实施办法》、《东莞市农村（社区）集体资产交易办法（试行）》，结合我镇实际，制订本办法。</w:t>
      </w:r>
    </w:p>
    <w:p w14:paraId="4C3C30B4"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第二条</w:t>
      </w:r>
      <w:r>
        <w:rPr>
          <w:rFonts w:ascii="Arial" w:hAnsi="Arial" w:cs="Arial"/>
          <w:color w:val="111111"/>
          <w:lang w:val="en"/>
        </w:rPr>
        <w:t xml:space="preserve"> </w:t>
      </w:r>
      <w:r>
        <w:rPr>
          <w:rFonts w:ascii="Arial" w:hAnsi="Arial" w:cs="Arial"/>
          <w:color w:val="111111"/>
          <w:lang w:val="en"/>
        </w:rPr>
        <w:t>本办法所称集体资产交易，是指集体经济组织将其拥有的集体资产有偿发包、出租、出让、变卖给法人或自然人，并订立交易合同的过程。主要包括：农业用地、建设用地的发包和出租，厂房、商铺、专业市场、设施设备的发包、出租、出让和变卖，或由集体所持有的特许经营权的出租等。</w:t>
      </w:r>
    </w:p>
    <w:p w14:paraId="3C254AB9"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法律、法规和规章对集体资产交易程序和要求有特别规定的，从其规定。</w:t>
      </w:r>
    </w:p>
    <w:p w14:paraId="7DB0732B"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第三条</w:t>
      </w:r>
      <w:r>
        <w:rPr>
          <w:rFonts w:ascii="Arial" w:hAnsi="Arial" w:cs="Arial"/>
          <w:color w:val="111111"/>
          <w:lang w:val="en"/>
        </w:rPr>
        <w:t xml:space="preserve"> </w:t>
      </w:r>
      <w:r>
        <w:rPr>
          <w:rFonts w:ascii="Arial" w:hAnsi="Arial" w:cs="Arial"/>
          <w:color w:val="111111"/>
          <w:lang w:val="en"/>
        </w:rPr>
        <w:t>集体资产交易应当遵循民主、公开、自愿、诚信的原则，不得侵犯集体或他人的合法权益，不得损害社会公共利益。</w:t>
      </w:r>
    </w:p>
    <w:p w14:paraId="753F4243" w14:textId="77777777" w:rsidR="00B26894" w:rsidRDefault="00B26894" w:rsidP="00B26894">
      <w:pPr>
        <w:pStyle w:val="p5"/>
        <w:spacing w:before="0" w:beforeAutospacing="0" w:after="150" w:afterAutospacing="0"/>
        <w:rPr>
          <w:rFonts w:ascii="Arial" w:hAnsi="Arial" w:cs="Arial"/>
          <w:color w:val="111111"/>
          <w:lang w:val="en"/>
        </w:rPr>
      </w:pPr>
      <w:r>
        <w:rPr>
          <w:rStyle w:val="s11"/>
          <w:rFonts w:ascii="Arial" w:hAnsi="Arial" w:cs="Arial"/>
          <w:color w:val="111111"/>
          <w:lang w:val="en"/>
        </w:rPr>
        <w:t>第二章</w:t>
      </w:r>
      <w:r>
        <w:rPr>
          <w:rStyle w:val="s11"/>
          <w:rFonts w:ascii="Arial" w:hAnsi="Arial" w:cs="Arial"/>
          <w:color w:val="111111"/>
          <w:lang w:val="en"/>
        </w:rPr>
        <w:t xml:space="preserve"> </w:t>
      </w:r>
      <w:r>
        <w:rPr>
          <w:rStyle w:val="s11"/>
          <w:rFonts w:ascii="Arial" w:hAnsi="Arial" w:cs="Arial"/>
          <w:color w:val="111111"/>
          <w:lang w:val="en"/>
        </w:rPr>
        <w:t>管理机构</w:t>
      </w:r>
    </w:p>
    <w:p w14:paraId="16DDF81B"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第四条</w:t>
      </w:r>
      <w:r>
        <w:rPr>
          <w:rFonts w:ascii="Arial" w:hAnsi="Arial" w:cs="Arial"/>
          <w:color w:val="111111"/>
          <w:lang w:val="en"/>
        </w:rPr>
        <w:t xml:space="preserve"> </w:t>
      </w:r>
      <w:r>
        <w:rPr>
          <w:rFonts w:ascii="Arial" w:hAnsi="Arial" w:cs="Arial"/>
          <w:color w:val="111111"/>
          <w:lang w:val="en"/>
        </w:rPr>
        <w:t>沙田镇虎门港监察室负责监督全镇农村集体资产交易工作，沙田镇农村集体资产管理办公室（以下简称</w:t>
      </w:r>
      <w:r>
        <w:rPr>
          <w:rFonts w:ascii="Arial" w:hAnsi="Arial" w:cs="Arial"/>
          <w:color w:val="111111"/>
          <w:lang w:val="en"/>
        </w:rPr>
        <w:t>“</w:t>
      </w:r>
      <w:r>
        <w:rPr>
          <w:rFonts w:ascii="Arial" w:hAnsi="Arial" w:cs="Arial"/>
          <w:color w:val="111111"/>
          <w:lang w:val="en"/>
        </w:rPr>
        <w:t>镇农资办</w:t>
      </w:r>
      <w:r>
        <w:rPr>
          <w:rFonts w:ascii="Arial" w:hAnsi="Arial" w:cs="Arial"/>
          <w:color w:val="111111"/>
          <w:lang w:val="en"/>
        </w:rPr>
        <w:t>”</w:t>
      </w:r>
      <w:r>
        <w:rPr>
          <w:rFonts w:ascii="Arial" w:hAnsi="Arial" w:cs="Arial"/>
          <w:color w:val="111111"/>
          <w:lang w:val="en"/>
        </w:rPr>
        <w:t>）负责全镇农村集体资产交易业务的指导和审查工作，沙田镇农村集体资产交易中心（以下简称</w:t>
      </w:r>
      <w:r>
        <w:rPr>
          <w:rFonts w:ascii="Arial" w:hAnsi="Arial" w:cs="Arial"/>
          <w:color w:val="111111"/>
          <w:lang w:val="en"/>
        </w:rPr>
        <w:t>“</w:t>
      </w:r>
      <w:r>
        <w:rPr>
          <w:rFonts w:ascii="Arial" w:hAnsi="Arial" w:cs="Arial"/>
          <w:color w:val="111111"/>
          <w:lang w:val="en"/>
        </w:rPr>
        <w:t>镇交易中心</w:t>
      </w:r>
      <w:r>
        <w:rPr>
          <w:rFonts w:ascii="Arial" w:hAnsi="Arial" w:cs="Arial"/>
          <w:color w:val="111111"/>
          <w:lang w:val="en"/>
        </w:rPr>
        <w:t>”</w:t>
      </w:r>
      <w:r>
        <w:rPr>
          <w:rFonts w:ascii="Arial" w:hAnsi="Arial" w:cs="Arial"/>
          <w:color w:val="111111"/>
          <w:lang w:val="en"/>
        </w:rPr>
        <w:t>）为集体资产交易提供中介服务。</w:t>
      </w:r>
    </w:p>
    <w:p w14:paraId="5C83EFB6"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成立沙田镇农村集体资产交易会审小组，成员由镇港农林水</w:t>
      </w:r>
      <w:proofErr w:type="gramStart"/>
      <w:r>
        <w:rPr>
          <w:rFonts w:ascii="Arial" w:hAnsi="Arial" w:cs="Arial"/>
          <w:color w:val="111111"/>
          <w:lang w:val="en"/>
        </w:rPr>
        <w:t>务</w:t>
      </w:r>
      <w:proofErr w:type="gramEnd"/>
      <w:r>
        <w:rPr>
          <w:rFonts w:ascii="Arial" w:hAnsi="Arial" w:cs="Arial"/>
          <w:color w:val="111111"/>
          <w:lang w:val="en"/>
        </w:rPr>
        <w:t>、国土、住建、规划、环保、财政、司法、纪检监察、农村集体资产管理机构等部门机构组成，负责对复杂交易事项进行会审。</w:t>
      </w:r>
    </w:p>
    <w:p w14:paraId="4C8FF308"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lastRenderedPageBreak/>
        <w:t>第五条</w:t>
      </w:r>
      <w:r>
        <w:rPr>
          <w:rFonts w:ascii="Arial" w:hAnsi="Arial" w:cs="Arial"/>
          <w:color w:val="111111"/>
          <w:lang w:val="en"/>
        </w:rPr>
        <w:t xml:space="preserve"> </w:t>
      </w:r>
      <w:r>
        <w:rPr>
          <w:rFonts w:ascii="Arial" w:hAnsi="Arial" w:cs="Arial"/>
          <w:color w:val="111111"/>
          <w:lang w:val="en"/>
        </w:rPr>
        <w:t>镇农资办在集体资产交易工作中的主要职责：</w:t>
      </w:r>
    </w:p>
    <w:p w14:paraId="496B528C"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（一）指导集体经济组织建立健全集体资产和经济合同台账；</w:t>
      </w:r>
    </w:p>
    <w:p w14:paraId="354A9A21"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（二）对集体经济组织申请交易的资料进行审核，必要时提请集体资产交易会审小组对交易申请进行会审；</w:t>
      </w:r>
    </w:p>
    <w:p w14:paraId="0A07B297"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（三）监督交易的进程及交易合同的</w:t>
      </w:r>
      <w:proofErr w:type="gramStart"/>
      <w:r>
        <w:rPr>
          <w:rFonts w:ascii="Arial" w:hAnsi="Arial" w:cs="Arial"/>
          <w:color w:val="111111"/>
          <w:lang w:val="en"/>
        </w:rPr>
        <w:t>签定</w:t>
      </w:r>
      <w:proofErr w:type="gramEnd"/>
      <w:r>
        <w:rPr>
          <w:rFonts w:ascii="Arial" w:hAnsi="Arial" w:cs="Arial"/>
          <w:color w:val="111111"/>
          <w:lang w:val="en"/>
        </w:rPr>
        <w:t>；</w:t>
      </w:r>
    </w:p>
    <w:p w14:paraId="645B1316"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（四）监督集体资产交易信息公开情况；</w:t>
      </w:r>
    </w:p>
    <w:p w14:paraId="14F810BB"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（五）对集体资产交易的审查资料和合同归档备案；</w:t>
      </w:r>
    </w:p>
    <w:p w14:paraId="0BA69254"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（六）协助市农村集体资产管理办公室和纪检监察部门调查处理违法违规交易行为。</w:t>
      </w:r>
    </w:p>
    <w:p w14:paraId="1048636E"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第六条</w:t>
      </w:r>
      <w:r>
        <w:rPr>
          <w:rFonts w:ascii="Arial" w:hAnsi="Arial" w:cs="Arial"/>
          <w:color w:val="111111"/>
          <w:lang w:val="en"/>
        </w:rPr>
        <w:t xml:space="preserve"> </w:t>
      </w:r>
      <w:r>
        <w:rPr>
          <w:rFonts w:ascii="Arial" w:hAnsi="Arial" w:cs="Arial"/>
          <w:color w:val="111111"/>
          <w:lang w:val="en"/>
        </w:rPr>
        <w:t>镇交易中心配备确定的交易场所、专职工作人员和投影仪、视频监控等设施。镇交易中心的主要职责：</w:t>
      </w:r>
    </w:p>
    <w:p w14:paraId="441B2E4E"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（一）提供集体资产交易的场所；</w:t>
      </w:r>
    </w:p>
    <w:p w14:paraId="61CC3AC7"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（二）统一发布集体资产交易信息；</w:t>
      </w:r>
    </w:p>
    <w:p w14:paraId="72F7D954"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（三）接受</w:t>
      </w:r>
      <w:proofErr w:type="gramStart"/>
      <w:r>
        <w:rPr>
          <w:rFonts w:ascii="Arial" w:hAnsi="Arial" w:cs="Arial"/>
          <w:color w:val="111111"/>
          <w:lang w:val="en"/>
        </w:rPr>
        <w:t>受</w:t>
      </w:r>
      <w:proofErr w:type="gramEnd"/>
      <w:r>
        <w:rPr>
          <w:rFonts w:ascii="Arial" w:hAnsi="Arial" w:cs="Arial"/>
          <w:color w:val="111111"/>
          <w:lang w:val="en"/>
        </w:rPr>
        <w:t>让意向</w:t>
      </w:r>
      <w:proofErr w:type="gramStart"/>
      <w:r>
        <w:rPr>
          <w:rFonts w:ascii="Arial" w:hAnsi="Arial" w:cs="Arial"/>
          <w:color w:val="111111"/>
          <w:lang w:val="en"/>
        </w:rPr>
        <w:t>人咨询</w:t>
      </w:r>
      <w:proofErr w:type="gramEnd"/>
      <w:r>
        <w:rPr>
          <w:rFonts w:ascii="Arial" w:hAnsi="Arial" w:cs="Arial"/>
          <w:color w:val="111111"/>
          <w:lang w:val="en"/>
        </w:rPr>
        <w:t>和报名，</w:t>
      </w:r>
      <w:proofErr w:type="gramStart"/>
      <w:r>
        <w:rPr>
          <w:rFonts w:ascii="Arial" w:hAnsi="Arial" w:cs="Arial"/>
          <w:color w:val="111111"/>
          <w:lang w:val="en"/>
        </w:rPr>
        <w:t>审查受</w:t>
      </w:r>
      <w:proofErr w:type="gramEnd"/>
      <w:r>
        <w:rPr>
          <w:rFonts w:ascii="Arial" w:hAnsi="Arial" w:cs="Arial"/>
          <w:color w:val="111111"/>
          <w:lang w:val="en"/>
        </w:rPr>
        <w:t>让意向人资质；</w:t>
      </w:r>
    </w:p>
    <w:p w14:paraId="29596114"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（四）组织开展公开交易；</w:t>
      </w:r>
    </w:p>
    <w:p w14:paraId="64EE15F4"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（五）对于复杂事项及时向镇农村集体资产交易会审小组提出会审申请；</w:t>
      </w:r>
    </w:p>
    <w:p w14:paraId="1CCD1BBE"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（六）保存管理集体资产交易文件和交易活动记录等资料档案。</w:t>
      </w:r>
    </w:p>
    <w:p w14:paraId="03AE034C"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第七条</w:t>
      </w:r>
      <w:r>
        <w:rPr>
          <w:rFonts w:ascii="Arial" w:hAnsi="Arial" w:cs="Arial"/>
          <w:color w:val="111111"/>
          <w:lang w:val="en"/>
        </w:rPr>
        <w:t xml:space="preserve"> </w:t>
      </w:r>
      <w:r>
        <w:rPr>
          <w:rFonts w:ascii="Arial" w:hAnsi="Arial" w:cs="Arial"/>
          <w:color w:val="111111"/>
          <w:lang w:val="en"/>
        </w:rPr>
        <w:t>集体经济组织要按规定做好资产交易和公布工作，建立和完善农村集体资产管理台账，对集体资产实行动态管理，防止资产流失，促进集体资产保值增值。</w:t>
      </w:r>
    </w:p>
    <w:p w14:paraId="45C121B9"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第八条</w:t>
      </w:r>
      <w:r>
        <w:rPr>
          <w:rFonts w:ascii="Arial" w:hAnsi="Arial" w:cs="Arial"/>
          <w:color w:val="111111"/>
          <w:lang w:val="en"/>
        </w:rPr>
        <w:t xml:space="preserve"> </w:t>
      </w:r>
      <w:r>
        <w:rPr>
          <w:rFonts w:ascii="Arial" w:hAnsi="Arial" w:cs="Arial"/>
          <w:color w:val="111111"/>
          <w:lang w:val="en"/>
        </w:rPr>
        <w:t>镇交易中心运作经费列入镇</w:t>
      </w:r>
      <w:proofErr w:type="gramStart"/>
      <w:r>
        <w:rPr>
          <w:rFonts w:ascii="Arial" w:hAnsi="Arial" w:cs="Arial"/>
          <w:color w:val="111111"/>
          <w:lang w:val="en"/>
        </w:rPr>
        <w:t>港财政</w:t>
      </w:r>
      <w:proofErr w:type="gramEnd"/>
      <w:r>
        <w:rPr>
          <w:rFonts w:ascii="Arial" w:hAnsi="Arial" w:cs="Arial"/>
          <w:color w:val="111111"/>
          <w:lang w:val="en"/>
        </w:rPr>
        <w:t>预算。镇交易中心在办理集体资产交易的过程中，不得收取任何中介服务费用。聘请拍卖</w:t>
      </w:r>
      <w:proofErr w:type="gramStart"/>
      <w:r>
        <w:rPr>
          <w:rFonts w:ascii="Arial" w:hAnsi="Arial" w:cs="Arial"/>
          <w:color w:val="111111"/>
          <w:lang w:val="en"/>
        </w:rPr>
        <w:t>师临时</w:t>
      </w:r>
      <w:proofErr w:type="gramEnd"/>
      <w:r>
        <w:rPr>
          <w:rFonts w:ascii="Arial" w:hAnsi="Arial" w:cs="Arial"/>
          <w:color w:val="111111"/>
          <w:lang w:val="en"/>
        </w:rPr>
        <w:t>提供服务的，可以约定聘用</w:t>
      </w:r>
      <w:proofErr w:type="gramStart"/>
      <w:r>
        <w:rPr>
          <w:rFonts w:ascii="Arial" w:hAnsi="Arial" w:cs="Arial"/>
          <w:color w:val="111111"/>
          <w:lang w:val="en"/>
        </w:rPr>
        <w:t>成本由竞得</w:t>
      </w:r>
      <w:proofErr w:type="gramEnd"/>
      <w:r>
        <w:rPr>
          <w:rFonts w:ascii="Arial" w:hAnsi="Arial" w:cs="Arial"/>
          <w:color w:val="111111"/>
          <w:lang w:val="en"/>
        </w:rPr>
        <w:t>人承担。</w:t>
      </w:r>
    </w:p>
    <w:p w14:paraId="1D378901" w14:textId="77777777" w:rsidR="00B26894" w:rsidRDefault="00B26894" w:rsidP="00B26894">
      <w:pPr>
        <w:pStyle w:val="p5"/>
        <w:spacing w:before="0" w:beforeAutospacing="0" w:after="150" w:afterAutospacing="0"/>
        <w:rPr>
          <w:rFonts w:ascii="Arial" w:hAnsi="Arial" w:cs="Arial"/>
          <w:color w:val="111111"/>
          <w:lang w:val="en"/>
        </w:rPr>
      </w:pPr>
      <w:r>
        <w:rPr>
          <w:rStyle w:val="s11"/>
          <w:rFonts w:ascii="Arial" w:hAnsi="Arial" w:cs="Arial"/>
          <w:color w:val="111111"/>
          <w:lang w:val="en"/>
        </w:rPr>
        <w:t>第三章</w:t>
      </w:r>
      <w:r>
        <w:rPr>
          <w:rStyle w:val="s11"/>
          <w:rFonts w:ascii="Arial" w:hAnsi="Arial" w:cs="Arial"/>
          <w:color w:val="111111"/>
          <w:lang w:val="en"/>
        </w:rPr>
        <w:t xml:space="preserve"> </w:t>
      </w:r>
      <w:r>
        <w:rPr>
          <w:rStyle w:val="s11"/>
          <w:rFonts w:ascii="Arial" w:hAnsi="Arial" w:cs="Arial"/>
          <w:color w:val="111111"/>
          <w:lang w:val="en"/>
        </w:rPr>
        <w:t>交易主体</w:t>
      </w:r>
    </w:p>
    <w:p w14:paraId="768FBA2F"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第九条</w:t>
      </w:r>
      <w:r>
        <w:rPr>
          <w:rFonts w:ascii="Arial" w:hAnsi="Arial" w:cs="Arial"/>
          <w:color w:val="111111"/>
          <w:lang w:val="en"/>
        </w:rPr>
        <w:t xml:space="preserve"> </w:t>
      </w:r>
      <w:r>
        <w:rPr>
          <w:rFonts w:ascii="Arial" w:hAnsi="Arial" w:cs="Arial"/>
          <w:color w:val="111111"/>
          <w:lang w:val="en"/>
        </w:rPr>
        <w:t>镇农资办要对辖区内的各集体经济组织的组织证明书、组织机构代码证和法人代表身份证复印备案，建立集体资产交易出让方的名录。</w:t>
      </w:r>
    </w:p>
    <w:p w14:paraId="02E6A094"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第十条</w:t>
      </w:r>
      <w:r>
        <w:rPr>
          <w:rFonts w:ascii="Arial" w:hAnsi="Arial" w:cs="Arial"/>
          <w:color w:val="111111"/>
          <w:lang w:val="en"/>
        </w:rPr>
        <w:t xml:space="preserve"> </w:t>
      </w:r>
      <w:r>
        <w:rPr>
          <w:rFonts w:ascii="Arial" w:hAnsi="Arial" w:cs="Arial"/>
          <w:color w:val="111111"/>
          <w:lang w:val="en"/>
        </w:rPr>
        <w:t>建立集体资产交易信用风险警示名单制度。各村（社区）应及时收集、审查本村组交易相关人的信用情况，将信用记录不良的法人或自然人列入交易信用风险警示名单报镇农资办，经镇农资办审</w:t>
      </w:r>
      <w:r>
        <w:rPr>
          <w:rFonts w:ascii="Arial" w:hAnsi="Arial" w:cs="Arial"/>
          <w:color w:val="111111"/>
          <w:lang w:val="en"/>
        </w:rPr>
        <w:lastRenderedPageBreak/>
        <w:t>核汇总后，报市农村集体资产管理办公室统一录入全市集体资产交易网络平台并在交易网站上予以公布。纳入交易平台信用风险警示名单的条件：</w:t>
      </w:r>
    </w:p>
    <w:p w14:paraId="64AAF8D9"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（一）集体资产的承租人拖欠应缴租金或累计欠款超过</w:t>
      </w:r>
      <w:r>
        <w:rPr>
          <w:rFonts w:ascii="Arial" w:hAnsi="Arial" w:cs="Arial"/>
          <w:color w:val="111111"/>
          <w:lang w:val="en"/>
        </w:rPr>
        <w:t>1</w:t>
      </w:r>
      <w:r>
        <w:rPr>
          <w:rFonts w:ascii="Arial" w:hAnsi="Arial" w:cs="Arial"/>
          <w:color w:val="111111"/>
          <w:lang w:val="en"/>
        </w:rPr>
        <w:t>年（含</w:t>
      </w:r>
      <w:r>
        <w:rPr>
          <w:rFonts w:ascii="Arial" w:hAnsi="Arial" w:cs="Arial"/>
          <w:color w:val="111111"/>
          <w:lang w:val="en"/>
        </w:rPr>
        <w:t>1</w:t>
      </w:r>
      <w:r>
        <w:rPr>
          <w:rFonts w:ascii="Arial" w:hAnsi="Arial" w:cs="Arial"/>
          <w:color w:val="111111"/>
          <w:lang w:val="en"/>
        </w:rPr>
        <w:t>年）且欠款金额超过</w:t>
      </w:r>
      <w:r>
        <w:rPr>
          <w:rFonts w:ascii="Arial" w:hAnsi="Arial" w:cs="Arial"/>
          <w:color w:val="111111"/>
          <w:lang w:val="en"/>
        </w:rPr>
        <w:t>1</w:t>
      </w:r>
      <w:r>
        <w:rPr>
          <w:rFonts w:ascii="Arial" w:hAnsi="Arial" w:cs="Arial"/>
          <w:color w:val="111111"/>
          <w:lang w:val="en"/>
        </w:rPr>
        <w:t>万元的（与业主单位有行政隶属或投资参股关系的关联单位可剔除。关联单位是指当地政府及有关部门、本村内村组、村组下属单位或全资企业、村组参股投资企业等）；</w:t>
      </w:r>
    </w:p>
    <w:p w14:paraId="0E1987AF"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（二）同一竞投人对同一交易标的竞得后</w:t>
      </w:r>
      <w:r>
        <w:rPr>
          <w:rFonts w:ascii="Arial" w:hAnsi="Arial" w:cs="Arial"/>
          <w:color w:val="111111"/>
          <w:lang w:val="en"/>
        </w:rPr>
        <w:t>2</w:t>
      </w:r>
      <w:r>
        <w:rPr>
          <w:rFonts w:ascii="Arial" w:hAnsi="Arial" w:cs="Arial"/>
          <w:color w:val="111111"/>
          <w:lang w:val="en"/>
        </w:rPr>
        <w:t>次弃标的，从</w:t>
      </w:r>
      <w:proofErr w:type="gramStart"/>
      <w:r>
        <w:rPr>
          <w:rFonts w:ascii="Arial" w:hAnsi="Arial" w:cs="Arial"/>
          <w:color w:val="111111"/>
          <w:lang w:val="en"/>
        </w:rPr>
        <w:t>第</w:t>
      </w:r>
      <w:r>
        <w:rPr>
          <w:rFonts w:ascii="Arial" w:hAnsi="Arial" w:cs="Arial"/>
          <w:color w:val="111111"/>
          <w:lang w:val="en"/>
        </w:rPr>
        <w:t>2</w:t>
      </w:r>
      <w:r>
        <w:rPr>
          <w:rFonts w:ascii="Arial" w:hAnsi="Arial" w:cs="Arial"/>
          <w:color w:val="111111"/>
          <w:lang w:val="en"/>
        </w:rPr>
        <w:t>次弃标之</w:t>
      </w:r>
      <w:proofErr w:type="gramEnd"/>
      <w:r>
        <w:rPr>
          <w:rFonts w:ascii="Arial" w:hAnsi="Arial" w:cs="Arial"/>
          <w:color w:val="111111"/>
          <w:lang w:val="en"/>
        </w:rPr>
        <w:t>日起</w:t>
      </w:r>
      <w:r>
        <w:rPr>
          <w:rFonts w:ascii="Arial" w:hAnsi="Arial" w:cs="Arial"/>
          <w:color w:val="111111"/>
          <w:lang w:val="en"/>
        </w:rPr>
        <w:t>2</w:t>
      </w:r>
      <w:r>
        <w:rPr>
          <w:rFonts w:ascii="Arial" w:hAnsi="Arial" w:cs="Arial"/>
          <w:color w:val="111111"/>
          <w:lang w:val="en"/>
        </w:rPr>
        <w:t>年内纳入交易平台信用风险警示名单；</w:t>
      </w:r>
    </w:p>
    <w:p w14:paraId="04770FCE"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（三）法人或自然人参加农村集体资产交易，报名交易累计</w:t>
      </w:r>
      <w:r>
        <w:rPr>
          <w:rFonts w:ascii="Arial" w:hAnsi="Arial" w:cs="Arial"/>
          <w:color w:val="111111"/>
          <w:lang w:val="en"/>
        </w:rPr>
        <w:t>6</w:t>
      </w:r>
      <w:r>
        <w:rPr>
          <w:rFonts w:ascii="Arial" w:hAnsi="Arial" w:cs="Arial"/>
          <w:color w:val="111111"/>
          <w:lang w:val="en"/>
        </w:rPr>
        <w:t>次以上（含</w:t>
      </w:r>
      <w:r>
        <w:rPr>
          <w:rFonts w:ascii="Arial" w:hAnsi="Arial" w:cs="Arial"/>
          <w:color w:val="111111"/>
          <w:lang w:val="en"/>
        </w:rPr>
        <w:t>6</w:t>
      </w:r>
      <w:r>
        <w:rPr>
          <w:rFonts w:ascii="Arial" w:hAnsi="Arial" w:cs="Arial"/>
          <w:color w:val="111111"/>
          <w:lang w:val="en"/>
        </w:rPr>
        <w:t>次）</w:t>
      </w:r>
      <w:proofErr w:type="gramStart"/>
      <w:r>
        <w:rPr>
          <w:rFonts w:ascii="Arial" w:hAnsi="Arial" w:cs="Arial"/>
          <w:color w:val="111111"/>
          <w:lang w:val="en"/>
        </w:rPr>
        <w:t>不</w:t>
      </w:r>
      <w:proofErr w:type="gramEnd"/>
      <w:r>
        <w:rPr>
          <w:rFonts w:ascii="Arial" w:hAnsi="Arial" w:cs="Arial"/>
          <w:color w:val="111111"/>
          <w:lang w:val="en"/>
        </w:rPr>
        <w:t>出价的，从累计</w:t>
      </w:r>
      <w:r>
        <w:rPr>
          <w:rFonts w:ascii="Arial" w:hAnsi="Arial" w:cs="Arial"/>
          <w:color w:val="111111"/>
          <w:lang w:val="en"/>
        </w:rPr>
        <w:t>6</w:t>
      </w:r>
      <w:r>
        <w:rPr>
          <w:rFonts w:ascii="Arial" w:hAnsi="Arial" w:cs="Arial"/>
          <w:color w:val="111111"/>
          <w:lang w:val="en"/>
        </w:rPr>
        <w:t>次</w:t>
      </w:r>
      <w:proofErr w:type="gramStart"/>
      <w:r>
        <w:rPr>
          <w:rFonts w:ascii="Arial" w:hAnsi="Arial" w:cs="Arial"/>
          <w:color w:val="111111"/>
          <w:lang w:val="en"/>
        </w:rPr>
        <w:t>不</w:t>
      </w:r>
      <w:proofErr w:type="gramEnd"/>
      <w:r>
        <w:rPr>
          <w:rFonts w:ascii="Arial" w:hAnsi="Arial" w:cs="Arial"/>
          <w:color w:val="111111"/>
          <w:lang w:val="en"/>
        </w:rPr>
        <w:t>出价之日起</w:t>
      </w:r>
      <w:r>
        <w:rPr>
          <w:rFonts w:ascii="Arial" w:hAnsi="Arial" w:cs="Arial"/>
          <w:color w:val="111111"/>
          <w:lang w:val="en"/>
        </w:rPr>
        <w:t>2</w:t>
      </w:r>
      <w:r>
        <w:rPr>
          <w:rFonts w:ascii="Arial" w:hAnsi="Arial" w:cs="Arial"/>
          <w:color w:val="111111"/>
          <w:lang w:val="en"/>
        </w:rPr>
        <w:t>年内纳入交易平台信用风险警示名单；</w:t>
      </w:r>
    </w:p>
    <w:p w14:paraId="66A61365"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（四）由</w:t>
      </w:r>
      <w:proofErr w:type="gramStart"/>
      <w:r>
        <w:rPr>
          <w:rFonts w:ascii="Arial" w:hAnsi="Arial" w:cs="Arial"/>
          <w:color w:val="111111"/>
          <w:lang w:val="en"/>
        </w:rPr>
        <w:t>镇依制度</w:t>
      </w:r>
      <w:proofErr w:type="gramEnd"/>
      <w:r>
        <w:rPr>
          <w:rFonts w:ascii="Arial" w:hAnsi="Arial" w:cs="Arial"/>
          <w:color w:val="111111"/>
          <w:lang w:val="en"/>
        </w:rPr>
        <w:t>规则认定具有其他不良履约情况的。</w:t>
      </w:r>
    </w:p>
    <w:p w14:paraId="0C43076D"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对于被录入全市集体资产交易网络平台信用风险警示名单的组织和个人，镇交易中心应当向各集体经济组织进行风险提示。信用风险警示名单一般每季度末更新一次，若欠款人还清所有欠款，镇农资办可向市农村集体资产管理办公室申请即时更新名单。对被纳入交易平台信用风险警示名单的意向竞投人，可大幅提高其缴纳交易保证金的比例。</w:t>
      </w:r>
    </w:p>
    <w:p w14:paraId="02808C23" w14:textId="77777777" w:rsidR="00B26894" w:rsidRDefault="00B26894" w:rsidP="00B26894">
      <w:pPr>
        <w:pStyle w:val="p5"/>
        <w:spacing w:before="0" w:beforeAutospacing="0" w:after="150" w:afterAutospacing="0"/>
        <w:rPr>
          <w:rFonts w:ascii="Arial" w:hAnsi="Arial" w:cs="Arial"/>
          <w:color w:val="111111"/>
          <w:lang w:val="en"/>
        </w:rPr>
      </w:pPr>
      <w:r>
        <w:rPr>
          <w:rStyle w:val="s11"/>
          <w:rFonts w:ascii="Arial" w:hAnsi="Arial" w:cs="Arial"/>
          <w:color w:val="111111"/>
          <w:lang w:val="en"/>
        </w:rPr>
        <w:t>第四章</w:t>
      </w:r>
      <w:r>
        <w:rPr>
          <w:rStyle w:val="s11"/>
          <w:rFonts w:ascii="Arial" w:hAnsi="Arial" w:cs="Arial"/>
          <w:color w:val="111111"/>
          <w:lang w:val="en"/>
        </w:rPr>
        <w:t xml:space="preserve"> </w:t>
      </w:r>
      <w:r>
        <w:rPr>
          <w:rStyle w:val="s11"/>
          <w:rFonts w:ascii="Arial" w:hAnsi="Arial" w:cs="Arial"/>
          <w:color w:val="111111"/>
          <w:lang w:val="en"/>
        </w:rPr>
        <w:t>交易方式</w:t>
      </w:r>
    </w:p>
    <w:p w14:paraId="188CBC49"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第十一条</w:t>
      </w:r>
      <w:r>
        <w:rPr>
          <w:rFonts w:ascii="Arial" w:hAnsi="Arial" w:cs="Arial"/>
          <w:color w:val="111111"/>
          <w:lang w:val="en"/>
        </w:rPr>
        <w:t xml:space="preserve"> </w:t>
      </w:r>
      <w:r>
        <w:rPr>
          <w:rFonts w:ascii="Arial" w:hAnsi="Arial" w:cs="Arial"/>
          <w:color w:val="111111"/>
          <w:lang w:val="en"/>
        </w:rPr>
        <w:t>集体资产交易平台由镇级交易平台和村级交易平台构成。镇级交易平台由镇交易中心负责运作，村级交易平台由各村（社区）成立的集体资产交易点运作。达到本办法第十二条镇级交易标准的资产交易必须在镇交易中心进行，未达到镇级交易标准的村、组集体资产交易，应当统一在村（社区）交易点内交易。符合条件的，也可以申请办理续约交易、小额资产交易和磋商交易。</w:t>
      </w:r>
    </w:p>
    <w:p w14:paraId="6A1FFE62"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严禁将集体资产化整为零、分拆交易。</w:t>
      </w:r>
    </w:p>
    <w:p w14:paraId="686ED97B"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集体资产除在镇交易中心或村级交易</w:t>
      </w:r>
      <w:proofErr w:type="gramStart"/>
      <w:r>
        <w:rPr>
          <w:rFonts w:ascii="Arial" w:hAnsi="Arial" w:cs="Arial"/>
          <w:color w:val="111111"/>
          <w:lang w:val="en"/>
        </w:rPr>
        <w:t>点交易</w:t>
      </w:r>
      <w:proofErr w:type="gramEnd"/>
      <w:r>
        <w:rPr>
          <w:rFonts w:ascii="Arial" w:hAnsi="Arial" w:cs="Arial"/>
          <w:color w:val="111111"/>
          <w:lang w:val="en"/>
        </w:rPr>
        <w:t>外，按审批权限经集体经济组织理事会或股东代表大会审议通过并报镇农资办审查同意后，可以委托东莞市拍卖行等依法承担我市公物拍卖工作的拍卖机构组织交易。</w:t>
      </w:r>
    </w:p>
    <w:p w14:paraId="7F9A2264"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集体资产按有关政策规定需要到市级产权交易机构进行交易的，从其规定。</w:t>
      </w:r>
    </w:p>
    <w:p w14:paraId="572646F2"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lastRenderedPageBreak/>
        <w:t>第十二条</w:t>
      </w:r>
      <w:r>
        <w:rPr>
          <w:rFonts w:ascii="Arial" w:hAnsi="Arial" w:cs="Arial"/>
          <w:color w:val="111111"/>
          <w:lang w:val="en"/>
        </w:rPr>
        <w:t xml:space="preserve"> </w:t>
      </w:r>
      <w:r>
        <w:rPr>
          <w:rFonts w:ascii="Arial" w:hAnsi="Arial" w:cs="Arial"/>
          <w:color w:val="111111"/>
          <w:lang w:val="en"/>
        </w:rPr>
        <w:t>须进入镇交易中心交易的资产标准：</w:t>
      </w:r>
    </w:p>
    <w:p w14:paraId="727C8C0D"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（一）集体建设用地使用权流转；</w:t>
      </w:r>
    </w:p>
    <w:p w14:paraId="2F15BC45"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（二）单宗合同面积</w:t>
      </w:r>
      <w:r>
        <w:rPr>
          <w:rFonts w:ascii="Arial" w:hAnsi="Arial" w:cs="Arial"/>
          <w:color w:val="111111"/>
          <w:lang w:val="en"/>
        </w:rPr>
        <w:t>10</w:t>
      </w:r>
      <w:r>
        <w:rPr>
          <w:rFonts w:ascii="Arial" w:hAnsi="Arial" w:cs="Arial"/>
          <w:color w:val="111111"/>
          <w:lang w:val="en"/>
        </w:rPr>
        <w:t>亩以上（含</w:t>
      </w:r>
      <w:r>
        <w:rPr>
          <w:rFonts w:ascii="Arial" w:hAnsi="Arial" w:cs="Arial"/>
          <w:color w:val="111111"/>
          <w:lang w:val="en"/>
        </w:rPr>
        <w:t>10</w:t>
      </w:r>
      <w:r>
        <w:rPr>
          <w:rFonts w:ascii="Arial" w:hAnsi="Arial" w:cs="Arial"/>
          <w:color w:val="111111"/>
          <w:lang w:val="en"/>
        </w:rPr>
        <w:t>亩）或出租年限在</w:t>
      </w:r>
      <w:r>
        <w:rPr>
          <w:rFonts w:ascii="Arial" w:hAnsi="Arial" w:cs="Arial"/>
          <w:color w:val="111111"/>
          <w:lang w:val="en"/>
        </w:rPr>
        <w:t>5</w:t>
      </w:r>
      <w:r>
        <w:rPr>
          <w:rFonts w:ascii="Arial" w:hAnsi="Arial" w:cs="Arial"/>
          <w:color w:val="111111"/>
          <w:lang w:val="en"/>
        </w:rPr>
        <w:t>年以上（含</w:t>
      </w:r>
      <w:r>
        <w:rPr>
          <w:rFonts w:ascii="Arial" w:hAnsi="Arial" w:cs="Arial"/>
          <w:color w:val="111111"/>
          <w:lang w:val="en"/>
        </w:rPr>
        <w:t>5</w:t>
      </w:r>
      <w:r>
        <w:rPr>
          <w:rFonts w:ascii="Arial" w:hAnsi="Arial" w:cs="Arial"/>
          <w:color w:val="111111"/>
          <w:lang w:val="en"/>
        </w:rPr>
        <w:t>年）的耕地、鱼塘、荒地、林地、滩涂等农用地土地承包经营权的交易；</w:t>
      </w:r>
    </w:p>
    <w:p w14:paraId="6FE46C1E"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（三）单宗合同第一年年标的金额</w:t>
      </w:r>
      <w:r>
        <w:rPr>
          <w:rFonts w:ascii="Arial" w:hAnsi="Arial" w:cs="Arial"/>
          <w:color w:val="111111"/>
          <w:lang w:val="en"/>
        </w:rPr>
        <w:t>20</w:t>
      </w:r>
      <w:r>
        <w:rPr>
          <w:rFonts w:ascii="Arial" w:hAnsi="Arial" w:cs="Arial"/>
          <w:color w:val="111111"/>
          <w:lang w:val="en"/>
        </w:rPr>
        <w:t>万元以上（含</w:t>
      </w:r>
      <w:r>
        <w:rPr>
          <w:rFonts w:ascii="Arial" w:hAnsi="Arial" w:cs="Arial"/>
          <w:color w:val="111111"/>
          <w:lang w:val="en"/>
        </w:rPr>
        <w:t>20</w:t>
      </w:r>
      <w:r>
        <w:rPr>
          <w:rFonts w:ascii="Arial" w:hAnsi="Arial" w:cs="Arial"/>
          <w:color w:val="111111"/>
          <w:lang w:val="en"/>
        </w:rPr>
        <w:t>万元），或单宗合同面积</w:t>
      </w:r>
      <w:r>
        <w:rPr>
          <w:rFonts w:ascii="Arial" w:hAnsi="Arial" w:cs="Arial"/>
          <w:color w:val="111111"/>
          <w:lang w:val="en"/>
        </w:rPr>
        <w:t>2000</w:t>
      </w:r>
      <w:r>
        <w:rPr>
          <w:rFonts w:ascii="Arial" w:hAnsi="Arial" w:cs="Arial"/>
          <w:color w:val="111111"/>
          <w:lang w:val="en"/>
        </w:rPr>
        <w:t>平方米以上（含</w:t>
      </w:r>
      <w:r>
        <w:rPr>
          <w:rFonts w:ascii="Arial" w:hAnsi="Arial" w:cs="Arial"/>
          <w:color w:val="111111"/>
          <w:lang w:val="en"/>
        </w:rPr>
        <w:t>2000</w:t>
      </w:r>
      <w:r>
        <w:rPr>
          <w:rFonts w:ascii="Arial" w:hAnsi="Arial" w:cs="Arial"/>
          <w:color w:val="111111"/>
          <w:lang w:val="en"/>
        </w:rPr>
        <w:t>平方米），或出租年限</w:t>
      </w:r>
      <w:r>
        <w:rPr>
          <w:rFonts w:ascii="Arial" w:hAnsi="Arial" w:cs="Arial"/>
          <w:color w:val="111111"/>
          <w:lang w:val="en"/>
        </w:rPr>
        <w:t>5</w:t>
      </w:r>
      <w:r>
        <w:rPr>
          <w:rFonts w:ascii="Arial" w:hAnsi="Arial" w:cs="Arial"/>
          <w:color w:val="111111"/>
          <w:lang w:val="en"/>
        </w:rPr>
        <w:t>年以上（含</w:t>
      </w:r>
      <w:r>
        <w:rPr>
          <w:rFonts w:ascii="Arial" w:hAnsi="Arial" w:cs="Arial"/>
          <w:color w:val="111111"/>
          <w:lang w:val="en"/>
        </w:rPr>
        <w:t>5</w:t>
      </w:r>
      <w:r>
        <w:rPr>
          <w:rFonts w:ascii="Arial" w:hAnsi="Arial" w:cs="Arial"/>
          <w:color w:val="111111"/>
          <w:lang w:val="en"/>
        </w:rPr>
        <w:t>年）的集体物业（含厂房、仓库、办公楼、商铺、市场等）使用权发包、出租的交易；</w:t>
      </w:r>
    </w:p>
    <w:p w14:paraId="2914BEEC"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（四）原值</w:t>
      </w:r>
      <w:r>
        <w:rPr>
          <w:rFonts w:ascii="Arial" w:hAnsi="Arial" w:cs="Arial"/>
          <w:color w:val="111111"/>
          <w:lang w:val="en"/>
        </w:rPr>
        <w:t>10</w:t>
      </w:r>
      <w:r>
        <w:rPr>
          <w:rFonts w:ascii="Arial" w:hAnsi="Arial" w:cs="Arial"/>
          <w:color w:val="111111"/>
          <w:lang w:val="en"/>
        </w:rPr>
        <w:t>万元以上（含</w:t>
      </w:r>
      <w:r>
        <w:rPr>
          <w:rFonts w:ascii="Arial" w:hAnsi="Arial" w:cs="Arial"/>
          <w:color w:val="111111"/>
          <w:lang w:val="en"/>
        </w:rPr>
        <w:t>10</w:t>
      </w:r>
      <w:r>
        <w:rPr>
          <w:rFonts w:ascii="Arial" w:hAnsi="Arial" w:cs="Arial"/>
          <w:color w:val="111111"/>
          <w:lang w:val="en"/>
        </w:rPr>
        <w:t>万元）集体固定资产的转让、变卖交易。</w:t>
      </w:r>
    </w:p>
    <w:p w14:paraId="1BED3FAD"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第十三条</w:t>
      </w:r>
      <w:r>
        <w:rPr>
          <w:rFonts w:ascii="Arial" w:hAnsi="Arial" w:cs="Arial"/>
          <w:color w:val="111111"/>
          <w:lang w:val="en"/>
        </w:rPr>
        <w:t xml:space="preserve"> </w:t>
      </w:r>
      <w:r>
        <w:rPr>
          <w:rFonts w:ascii="Arial" w:hAnsi="Arial" w:cs="Arial"/>
          <w:color w:val="111111"/>
          <w:lang w:val="en"/>
        </w:rPr>
        <w:t>集体资产的交易采取明标明投、明标暗投等公开竞价方式进行，法律、法规以及有关政策文件有特殊规定的，从其规定。</w:t>
      </w:r>
    </w:p>
    <w:p w14:paraId="77B07E73"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第十四条</w:t>
      </w:r>
      <w:r>
        <w:rPr>
          <w:rFonts w:ascii="Arial" w:hAnsi="Arial" w:cs="Arial"/>
          <w:color w:val="111111"/>
          <w:lang w:val="en"/>
        </w:rPr>
        <w:t xml:space="preserve"> </w:t>
      </w:r>
      <w:r>
        <w:rPr>
          <w:rFonts w:ascii="Arial" w:hAnsi="Arial" w:cs="Arial"/>
          <w:color w:val="111111"/>
          <w:lang w:val="en"/>
        </w:rPr>
        <w:t>集体资产交易必须合理制定交易底价。一般资产交易，集体经济组织应参考资产所在区域、资产类型拟定交易底价；大额资产的出让，应由有资质的中介机构进行资产评估，以评估价作为交易基础。</w:t>
      </w:r>
    </w:p>
    <w:p w14:paraId="48F0013B" w14:textId="77777777" w:rsidR="00B26894" w:rsidRDefault="00B26894" w:rsidP="00B26894">
      <w:pPr>
        <w:pStyle w:val="p5"/>
        <w:spacing w:before="0" w:beforeAutospacing="0" w:after="150" w:afterAutospacing="0"/>
        <w:rPr>
          <w:rFonts w:ascii="Arial" w:hAnsi="Arial" w:cs="Arial"/>
          <w:color w:val="111111"/>
          <w:lang w:val="en"/>
        </w:rPr>
      </w:pPr>
      <w:r>
        <w:rPr>
          <w:rStyle w:val="s11"/>
          <w:rFonts w:ascii="Arial" w:hAnsi="Arial" w:cs="Arial"/>
          <w:color w:val="111111"/>
          <w:lang w:val="en"/>
        </w:rPr>
        <w:t>第五章</w:t>
      </w:r>
      <w:r>
        <w:rPr>
          <w:rStyle w:val="s11"/>
          <w:rFonts w:ascii="Arial" w:hAnsi="Arial" w:cs="Arial"/>
          <w:color w:val="111111"/>
          <w:lang w:val="en"/>
        </w:rPr>
        <w:t xml:space="preserve"> </w:t>
      </w:r>
      <w:r>
        <w:rPr>
          <w:rStyle w:val="s11"/>
          <w:rFonts w:ascii="Arial" w:hAnsi="Arial" w:cs="Arial"/>
          <w:color w:val="111111"/>
          <w:lang w:val="en"/>
        </w:rPr>
        <w:t>镇级交易</w:t>
      </w:r>
    </w:p>
    <w:p w14:paraId="3A6C0D39"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第十五条</w:t>
      </w:r>
      <w:r>
        <w:rPr>
          <w:rFonts w:ascii="Arial" w:hAnsi="Arial" w:cs="Arial"/>
          <w:color w:val="111111"/>
          <w:lang w:val="en"/>
        </w:rPr>
        <w:t xml:space="preserve"> </w:t>
      </w:r>
      <w:r>
        <w:rPr>
          <w:rFonts w:ascii="Arial" w:hAnsi="Arial" w:cs="Arial"/>
          <w:color w:val="111111"/>
          <w:lang w:val="en"/>
        </w:rPr>
        <w:t>村组集体经济组织应在合同到期前（或计划交易前）</w:t>
      </w:r>
      <w:r>
        <w:rPr>
          <w:rFonts w:ascii="Arial" w:hAnsi="Arial" w:cs="Arial"/>
          <w:color w:val="111111"/>
          <w:lang w:val="en"/>
        </w:rPr>
        <w:t>2</w:t>
      </w:r>
      <w:r>
        <w:rPr>
          <w:rFonts w:ascii="Arial" w:hAnsi="Arial" w:cs="Arial"/>
          <w:color w:val="111111"/>
          <w:lang w:val="en"/>
        </w:rPr>
        <w:t>至</w:t>
      </w:r>
      <w:r>
        <w:rPr>
          <w:rFonts w:ascii="Arial" w:hAnsi="Arial" w:cs="Arial"/>
          <w:color w:val="111111"/>
          <w:lang w:val="en"/>
        </w:rPr>
        <w:t>6</w:t>
      </w:r>
      <w:r>
        <w:rPr>
          <w:rFonts w:ascii="Arial" w:hAnsi="Arial" w:cs="Arial"/>
          <w:color w:val="111111"/>
          <w:lang w:val="en"/>
        </w:rPr>
        <w:t>个月向镇农资办提交立项申请。业主单位申请立项前，应向原承租人发出租赁到期通知书，告知相关事项。原租赁合同因协商或违约而解除的，业主单位应及时提出交易立项申请。</w:t>
      </w:r>
    </w:p>
    <w:p w14:paraId="5E4426E9"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第十六条</w:t>
      </w:r>
      <w:r>
        <w:rPr>
          <w:rFonts w:ascii="Arial" w:hAnsi="Arial" w:cs="Arial"/>
          <w:color w:val="111111"/>
          <w:lang w:val="en"/>
        </w:rPr>
        <w:t xml:space="preserve"> </w:t>
      </w:r>
      <w:r>
        <w:rPr>
          <w:rFonts w:ascii="Arial" w:hAnsi="Arial" w:cs="Arial"/>
          <w:color w:val="111111"/>
          <w:lang w:val="en"/>
        </w:rPr>
        <w:t>申请交易时，集体经济组织应向镇农资办提交以下资料进行审核：</w:t>
      </w:r>
    </w:p>
    <w:p w14:paraId="7795A55D"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（一）立项申请表；</w:t>
      </w:r>
    </w:p>
    <w:p w14:paraId="42F5D021"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（二）交易标的物基本情况说明，权属证明材料原件及复印件或由村委会出具的相关集体资产归属证明；</w:t>
      </w:r>
    </w:p>
    <w:p w14:paraId="6B3E58D4"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（三）按照交易事项，征询相关部门意见的书面材料；</w:t>
      </w:r>
    </w:p>
    <w:p w14:paraId="51E2AADC"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（四）拟定的交易方案和交易合同；</w:t>
      </w:r>
    </w:p>
    <w:p w14:paraId="7FC19ED9"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（五）根据职权，由集体经济组织理事会或股东代表大会表决通过交易方案的表决情况记录表；</w:t>
      </w:r>
    </w:p>
    <w:p w14:paraId="41F7DE5F"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lastRenderedPageBreak/>
        <w:t>（六）属重大事项的，按集体经济组织重大事项审查制度规定应提交的其他材料（资产交易事项属于重大事项审查范围的，只需审查资产交易事项，不须再以另外的重大事项项目报送审查）；</w:t>
      </w:r>
    </w:p>
    <w:p w14:paraId="5D1ABFF2"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镇农资办收到业主单位手续完备、齐全的立项资料后，一般在</w:t>
      </w:r>
      <w:r>
        <w:rPr>
          <w:rFonts w:ascii="Arial" w:hAnsi="Arial" w:cs="Arial"/>
          <w:color w:val="111111"/>
          <w:lang w:val="en"/>
        </w:rPr>
        <w:t>10</w:t>
      </w:r>
      <w:r>
        <w:rPr>
          <w:rFonts w:ascii="Arial" w:hAnsi="Arial" w:cs="Arial"/>
          <w:color w:val="111111"/>
          <w:lang w:val="en"/>
        </w:rPr>
        <w:t>个工作日内审查回复。</w:t>
      </w:r>
    </w:p>
    <w:p w14:paraId="66429428"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第十七条</w:t>
      </w:r>
      <w:r>
        <w:rPr>
          <w:rFonts w:ascii="Arial" w:hAnsi="Arial" w:cs="Arial"/>
          <w:color w:val="111111"/>
          <w:lang w:val="en"/>
        </w:rPr>
        <w:t xml:space="preserve"> </w:t>
      </w:r>
      <w:r>
        <w:rPr>
          <w:rFonts w:ascii="Arial" w:hAnsi="Arial" w:cs="Arial"/>
          <w:color w:val="111111"/>
          <w:lang w:val="en"/>
        </w:rPr>
        <w:t>经镇农资办审核同意进入镇交易中心交易的项目，镇交易中心按规定受理，与集体经济组织签订集体资产交易委托协议，一般在</w:t>
      </w:r>
      <w:r>
        <w:rPr>
          <w:rFonts w:ascii="Arial" w:hAnsi="Arial" w:cs="Arial"/>
          <w:color w:val="111111"/>
          <w:lang w:val="en"/>
        </w:rPr>
        <w:t>30</w:t>
      </w:r>
      <w:r>
        <w:rPr>
          <w:rFonts w:ascii="Arial" w:hAnsi="Arial" w:cs="Arial"/>
          <w:color w:val="111111"/>
          <w:lang w:val="en"/>
        </w:rPr>
        <w:t>个工作日内完成交易流程。</w:t>
      </w:r>
    </w:p>
    <w:p w14:paraId="233ABC4B"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镇交易中心将交易项目的交易信息在东莞市农村（社区）集体资产管理网、镇港电子政务外</w:t>
      </w:r>
      <w:proofErr w:type="gramStart"/>
      <w:r>
        <w:rPr>
          <w:rFonts w:ascii="Arial" w:hAnsi="Arial" w:cs="Arial"/>
          <w:color w:val="111111"/>
          <w:lang w:val="en"/>
        </w:rPr>
        <w:t>网公开</w:t>
      </w:r>
      <w:proofErr w:type="gramEnd"/>
      <w:r>
        <w:rPr>
          <w:rFonts w:ascii="Arial" w:hAnsi="Arial" w:cs="Arial"/>
          <w:color w:val="111111"/>
          <w:lang w:val="en"/>
        </w:rPr>
        <w:t>发布，集体经济组织同时要在其财务公开栏公布。交易信息从发布之日起至交易日不得少于</w:t>
      </w:r>
      <w:r>
        <w:rPr>
          <w:rFonts w:ascii="Arial" w:hAnsi="Arial" w:cs="Arial"/>
          <w:color w:val="111111"/>
          <w:lang w:val="en"/>
        </w:rPr>
        <w:t>5</w:t>
      </w:r>
      <w:r>
        <w:rPr>
          <w:rFonts w:ascii="Arial" w:hAnsi="Arial" w:cs="Arial"/>
          <w:color w:val="111111"/>
          <w:lang w:val="en"/>
        </w:rPr>
        <w:t>个工作日。</w:t>
      </w:r>
    </w:p>
    <w:p w14:paraId="1F564318"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交易信息发布后，可接受</w:t>
      </w:r>
      <w:proofErr w:type="gramStart"/>
      <w:r>
        <w:rPr>
          <w:rFonts w:ascii="Arial" w:hAnsi="Arial" w:cs="Arial"/>
          <w:color w:val="111111"/>
          <w:lang w:val="en"/>
        </w:rPr>
        <w:t>受</w:t>
      </w:r>
      <w:proofErr w:type="gramEnd"/>
      <w:r>
        <w:rPr>
          <w:rFonts w:ascii="Arial" w:hAnsi="Arial" w:cs="Arial"/>
          <w:color w:val="111111"/>
          <w:lang w:val="en"/>
        </w:rPr>
        <w:t>让意向人报名。在信息发布期限内，未经镇农资办同意</w:t>
      </w:r>
      <w:r>
        <w:rPr>
          <w:rFonts w:ascii="Arial" w:hAnsi="Arial" w:cs="Arial"/>
          <w:color w:val="111111"/>
          <w:lang w:val="en"/>
        </w:rPr>
        <w:t xml:space="preserve">, </w:t>
      </w:r>
      <w:r>
        <w:rPr>
          <w:rFonts w:ascii="Arial" w:hAnsi="Arial" w:cs="Arial"/>
          <w:color w:val="111111"/>
          <w:lang w:val="en"/>
        </w:rPr>
        <w:t>集体经济组织不得撤回交易。</w:t>
      </w:r>
    </w:p>
    <w:p w14:paraId="4B58ABE3"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第十八条</w:t>
      </w:r>
      <w:r>
        <w:rPr>
          <w:rFonts w:ascii="Arial" w:hAnsi="Arial" w:cs="Arial"/>
          <w:color w:val="111111"/>
          <w:lang w:val="en"/>
        </w:rPr>
        <w:t xml:space="preserve"> </w:t>
      </w:r>
      <w:r>
        <w:rPr>
          <w:rFonts w:ascii="Arial" w:hAnsi="Arial" w:cs="Arial"/>
          <w:color w:val="111111"/>
          <w:lang w:val="en"/>
        </w:rPr>
        <w:t>集体资产的受让意向人参加报名，应在规定时间内向镇交易中心提交以下资料：</w:t>
      </w:r>
    </w:p>
    <w:p w14:paraId="23C6F7D6"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（一）受让意向人有效身份证明、授权委托书、营业执照原件及复印件；</w:t>
      </w:r>
    </w:p>
    <w:p w14:paraId="231E9473"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（二）交易保证金；</w:t>
      </w:r>
    </w:p>
    <w:p w14:paraId="6731D318"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（三）按照发布的交易信息规定需要提交的其他材料。</w:t>
      </w:r>
    </w:p>
    <w:p w14:paraId="7D7C3F51"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第十九条</w:t>
      </w:r>
      <w:r>
        <w:rPr>
          <w:rFonts w:ascii="Arial" w:hAnsi="Arial" w:cs="Arial"/>
          <w:color w:val="111111"/>
          <w:lang w:val="en"/>
        </w:rPr>
        <w:t xml:space="preserve"> </w:t>
      </w:r>
      <w:r>
        <w:rPr>
          <w:rFonts w:ascii="Arial" w:hAnsi="Arial" w:cs="Arial"/>
          <w:color w:val="111111"/>
          <w:lang w:val="en"/>
        </w:rPr>
        <w:t>交易保证金具体数额由集体经济组织确认。原则上，</w:t>
      </w:r>
      <w:proofErr w:type="gramStart"/>
      <w:r>
        <w:rPr>
          <w:rFonts w:ascii="Arial" w:hAnsi="Arial" w:cs="Arial"/>
          <w:color w:val="111111"/>
          <w:lang w:val="en"/>
        </w:rPr>
        <w:t>属资产</w:t>
      </w:r>
      <w:proofErr w:type="gramEnd"/>
      <w:r>
        <w:rPr>
          <w:rFonts w:ascii="Arial" w:hAnsi="Arial" w:cs="Arial"/>
          <w:color w:val="111111"/>
          <w:lang w:val="en"/>
        </w:rPr>
        <w:t>出让的，交易保证金在标的物出让底价金额的</w:t>
      </w:r>
      <w:r>
        <w:rPr>
          <w:rFonts w:ascii="Arial" w:hAnsi="Arial" w:cs="Arial"/>
          <w:color w:val="111111"/>
          <w:lang w:val="en"/>
        </w:rPr>
        <w:t>10%-30%</w:t>
      </w:r>
      <w:r>
        <w:rPr>
          <w:rFonts w:ascii="Arial" w:hAnsi="Arial" w:cs="Arial"/>
          <w:color w:val="111111"/>
          <w:lang w:val="en"/>
        </w:rPr>
        <w:t>的范围内；</w:t>
      </w:r>
      <w:proofErr w:type="gramStart"/>
      <w:r>
        <w:rPr>
          <w:rFonts w:ascii="Arial" w:hAnsi="Arial" w:cs="Arial"/>
          <w:color w:val="111111"/>
          <w:lang w:val="en"/>
        </w:rPr>
        <w:t>属资产</w:t>
      </w:r>
      <w:proofErr w:type="gramEnd"/>
      <w:r>
        <w:rPr>
          <w:rFonts w:ascii="Arial" w:hAnsi="Arial" w:cs="Arial"/>
          <w:color w:val="111111"/>
          <w:lang w:val="en"/>
        </w:rPr>
        <w:t>出租的，交易保证金不低于标的物</w:t>
      </w:r>
      <w:r>
        <w:rPr>
          <w:rFonts w:ascii="Arial" w:hAnsi="Arial" w:cs="Arial"/>
          <w:color w:val="111111"/>
          <w:lang w:val="en"/>
        </w:rPr>
        <w:t>2</w:t>
      </w:r>
      <w:r>
        <w:rPr>
          <w:rFonts w:ascii="Arial" w:hAnsi="Arial" w:cs="Arial"/>
          <w:color w:val="111111"/>
          <w:lang w:val="en"/>
        </w:rPr>
        <w:t>个月的租金底价。</w:t>
      </w:r>
    </w:p>
    <w:p w14:paraId="22961371"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交易保证金的收取方式：保证金于交易日前按交易信息公告要求，以银行转账或现金方式存入到指定账户（现金存入的须填写存款人名称），汇（存）款人名称须与竞投意向人名称一致，名称不一致的，须有汇（存）款人出具的证明该款项为竞价人保证金的证明书方为有效，并提供缴款凭证核对。</w:t>
      </w:r>
    </w:p>
    <w:p w14:paraId="7274AA31"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交易保证金的处置方式：</w:t>
      </w:r>
    </w:p>
    <w:p w14:paraId="00B21955"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（一）一份保证金只能竞得一宗交易，若不能成功竞得，可以竞投其他交易；</w:t>
      </w:r>
    </w:p>
    <w:p w14:paraId="4B828B59"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（二）交易结束后，对于未成交的竞价人的交易保证金，竞价人提出申请后，镇交易中心无息全额退还；</w:t>
      </w:r>
    </w:p>
    <w:p w14:paraId="6A28BB62"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lastRenderedPageBreak/>
        <w:t>（三）竞得人在成功竞得并签订正式合同后，并向集体经济组织交付合同保证金后，镇交易中心无息全额退还交易保证金。</w:t>
      </w:r>
    </w:p>
    <w:p w14:paraId="37A9930A"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第二十条</w:t>
      </w:r>
      <w:r>
        <w:rPr>
          <w:rFonts w:ascii="Arial" w:hAnsi="Arial" w:cs="Arial"/>
          <w:color w:val="111111"/>
          <w:lang w:val="en"/>
        </w:rPr>
        <w:t xml:space="preserve"> </w:t>
      </w:r>
      <w:r>
        <w:rPr>
          <w:rFonts w:ascii="Arial" w:hAnsi="Arial" w:cs="Arial"/>
          <w:color w:val="111111"/>
          <w:lang w:val="en"/>
        </w:rPr>
        <w:t>交易过程中，在正式交易报价前，业主方提出终止交易的，须经镇农资办审查同意。经正式交易报价并确定竞得人后，业主单位不得单方面终止交易。若经双方协商同意终止交易的，应由双方共同出具终止交易的书面声明和提供相关证明材料，报镇农资办审查同意。</w:t>
      </w:r>
    </w:p>
    <w:p w14:paraId="7F7ACACF"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交易过程中，因业主方责任或双方争议出现的交易终止情况，可免予没收竞得人的交易保证金。业主方须向镇交易中心出具免予没收保证金的书面声明。</w:t>
      </w:r>
    </w:p>
    <w:p w14:paraId="24C361C9"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因业主方责任导致交易终止造成竞得人损失的，竞得人可与业主方协商，由业主方给予竞得人一定经济补偿。协商不成的，可建议双方通过法律途径解决。</w:t>
      </w:r>
    </w:p>
    <w:p w14:paraId="768B15C9"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第二十一条</w:t>
      </w:r>
      <w:r>
        <w:rPr>
          <w:rFonts w:ascii="Arial" w:hAnsi="Arial" w:cs="Arial"/>
          <w:color w:val="111111"/>
          <w:lang w:val="en"/>
        </w:rPr>
        <w:t xml:space="preserve"> </w:t>
      </w:r>
      <w:r>
        <w:rPr>
          <w:rFonts w:ascii="Arial" w:hAnsi="Arial" w:cs="Arial"/>
          <w:color w:val="111111"/>
          <w:lang w:val="en"/>
        </w:rPr>
        <w:t>集体资产公开交易竞价时，必须由集体经济组织理事长（或其委托人）和不少于</w:t>
      </w:r>
      <w:r>
        <w:rPr>
          <w:rFonts w:ascii="Arial" w:hAnsi="Arial" w:cs="Arial"/>
          <w:color w:val="111111"/>
          <w:lang w:val="en"/>
        </w:rPr>
        <w:t>2</w:t>
      </w:r>
      <w:r>
        <w:rPr>
          <w:rFonts w:ascii="Arial" w:hAnsi="Arial" w:cs="Arial"/>
          <w:color w:val="111111"/>
          <w:lang w:val="en"/>
        </w:rPr>
        <w:t>名监事会成员到场见证监督全过程。属股份经济社（组级）的交易事项，还须有一名村</w:t>
      </w:r>
      <w:r>
        <w:rPr>
          <w:rFonts w:ascii="Arial" w:hAnsi="Arial" w:cs="Arial"/>
          <w:color w:val="111111"/>
          <w:lang w:val="en"/>
        </w:rPr>
        <w:t>“</w:t>
      </w:r>
      <w:r>
        <w:rPr>
          <w:rFonts w:ascii="Arial" w:hAnsi="Arial" w:cs="Arial"/>
          <w:color w:val="111111"/>
          <w:lang w:val="en"/>
        </w:rPr>
        <w:t>两委</w:t>
      </w:r>
      <w:r>
        <w:rPr>
          <w:rFonts w:ascii="Arial" w:hAnsi="Arial" w:cs="Arial"/>
          <w:color w:val="111111"/>
          <w:lang w:val="en"/>
        </w:rPr>
        <w:t>”</w:t>
      </w:r>
      <w:r>
        <w:rPr>
          <w:rFonts w:ascii="Arial" w:hAnsi="Arial" w:cs="Arial"/>
          <w:color w:val="111111"/>
          <w:lang w:val="en"/>
        </w:rPr>
        <w:t>干部在场。监事会成员也可书面委托其他股东代表到场见证监督。集体经济组织指定专人提前</w:t>
      </w:r>
      <w:r>
        <w:rPr>
          <w:rFonts w:ascii="Arial" w:hAnsi="Arial" w:cs="Arial"/>
          <w:color w:val="111111"/>
          <w:lang w:val="en"/>
        </w:rPr>
        <w:t>3</w:t>
      </w:r>
      <w:r>
        <w:rPr>
          <w:rFonts w:ascii="Arial" w:hAnsi="Arial" w:cs="Arial"/>
          <w:color w:val="111111"/>
          <w:lang w:val="en"/>
        </w:rPr>
        <w:t>个工作日通知相关人员，已通知但不到场的，视为自动放弃该项资产交易的监督权。</w:t>
      </w:r>
    </w:p>
    <w:p w14:paraId="50CFC1F2"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第二十二条</w:t>
      </w:r>
      <w:r>
        <w:rPr>
          <w:rFonts w:ascii="Arial" w:hAnsi="Arial" w:cs="Arial"/>
          <w:color w:val="111111"/>
          <w:lang w:val="en"/>
        </w:rPr>
        <w:t xml:space="preserve"> </w:t>
      </w:r>
      <w:r>
        <w:rPr>
          <w:rFonts w:ascii="Arial" w:hAnsi="Arial" w:cs="Arial"/>
          <w:color w:val="111111"/>
          <w:lang w:val="en"/>
        </w:rPr>
        <w:t>镇交易中心应在交易日组织交易。只有</w:t>
      </w:r>
      <w:r>
        <w:rPr>
          <w:rFonts w:ascii="Arial" w:hAnsi="Arial" w:cs="Arial"/>
          <w:color w:val="111111"/>
          <w:lang w:val="en"/>
        </w:rPr>
        <w:t>1</w:t>
      </w:r>
      <w:r>
        <w:rPr>
          <w:rFonts w:ascii="Arial" w:hAnsi="Arial" w:cs="Arial"/>
          <w:color w:val="111111"/>
          <w:lang w:val="en"/>
        </w:rPr>
        <w:t>家合格受让意向人提出受让申请的，成交价不能低于底价；有</w:t>
      </w:r>
      <w:r>
        <w:rPr>
          <w:rFonts w:ascii="Arial" w:hAnsi="Arial" w:cs="Arial"/>
          <w:color w:val="111111"/>
          <w:lang w:val="en"/>
        </w:rPr>
        <w:t>2</w:t>
      </w:r>
      <w:r>
        <w:rPr>
          <w:rFonts w:ascii="Arial" w:hAnsi="Arial" w:cs="Arial"/>
          <w:color w:val="111111"/>
          <w:lang w:val="en"/>
        </w:rPr>
        <w:t>家以上提出受让申请的，以交易方案设定的方式进行交易；无人提出受让申请或无人竞投的，交易程序终止。集体经济组织可重新提出交易申请，或可在</w:t>
      </w:r>
      <w:proofErr w:type="gramStart"/>
      <w:r>
        <w:rPr>
          <w:rFonts w:ascii="Arial" w:hAnsi="Arial" w:cs="Arial"/>
          <w:color w:val="111111"/>
          <w:lang w:val="en"/>
        </w:rPr>
        <w:t>自交易</w:t>
      </w:r>
      <w:proofErr w:type="gramEnd"/>
      <w:r>
        <w:rPr>
          <w:rFonts w:ascii="Arial" w:hAnsi="Arial" w:cs="Arial"/>
          <w:color w:val="111111"/>
          <w:lang w:val="en"/>
        </w:rPr>
        <w:t>终止之日起</w:t>
      </w:r>
      <w:r>
        <w:rPr>
          <w:rFonts w:ascii="Arial" w:hAnsi="Arial" w:cs="Arial"/>
          <w:color w:val="111111"/>
          <w:lang w:val="en"/>
        </w:rPr>
        <w:t>3</w:t>
      </w:r>
      <w:r>
        <w:rPr>
          <w:rFonts w:ascii="Arial" w:hAnsi="Arial" w:cs="Arial"/>
          <w:color w:val="111111"/>
          <w:lang w:val="en"/>
        </w:rPr>
        <w:t>个月内，在不改变原交易方案主要条件的基础上经镇农资办同意后与交易意向人达成交易，并报镇交易中心备案；超过</w:t>
      </w:r>
      <w:r>
        <w:rPr>
          <w:rFonts w:ascii="Arial" w:hAnsi="Arial" w:cs="Arial"/>
          <w:color w:val="111111"/>
          <w:lang w:val="en"/>
        </w:rPr>
        <w:t>3</w:t>
      </w:r>
      <w:r>
        <w:rPr>
          <w:rFonts w:ascii="Arial" w:hAnsi="Arial" w:cs="Arial"/>
          <w:color w:val="111111"/>
          <w:lang w:val="en"/>
        </w:rPr>
        <w:t>个月未能达成交易的，按本办法规定的程序重新组织交易。</w:t>
      </w:r>
    </w:p>
    <w:p w14:paraId="4D50398E"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采取明标明投、明标暗投方式进行的交易，按照价高者得方式成交。若价格与条件相同的，以现场抽签形式确定最终竞得人。符合法律法规有关优先权规定的，按相关规定确定竞得人。</w:t>
      </w:r>
    </w:p>
    <w:p w14:paraId="19BCD1DB"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第二十三条</w:t>
      </w:r>
      <w:r>
        <w:rPr>
          <w:rFonts w:ascii="Arial" w:hAnsi="Arial" w:cs="Arial"/>
          <w:color w:val="111111"/>
          <w:lang w:val="en"/>
        </w:rPr>
        <w:t xml:space="preserve"> </w:t>
      </w:r>
      <w:r>
        <w:rPr>
          <w:rFonts w:ascii="Arial" w:hAnsi="Arial" w:cs="Arial"/>
          <w:color w:val="111111"/>
          <w:lang w:val="en"/>
        </w:rPr>
        <w:t>现场交易达成后，交易双方原则上在镇交易中心签订《成交确认书》和正式合同，合同签订人名称必须与竞得人报名的名称一致。竞投人以个人名义报名的，须以个人名义签订合同（若竞投人以个人名义报名，</w:t>
      </w:r>
      <w:proofErr w:type="gramStart"/>
      <w:r>
        <w:rPr>
          <w:rFonts w:ascii="Arial" w:hAnsi="Arial" w:cs="Arial"/>
          <w:color w:val="111111"/>
          <w:lang w:val="en"/>
        </w:rPr>
        <w:t>但竞得</w:t>
      </w:r>
      <w:proofErr w:type="gramEnd"/>
      <w:r>
        <w:rPr>
          <w:rFonts w:ascii="Arial" w:hAnsi="Arial" w:cs="Arial"/>
          <w:color w:val="111111"/>
          <w:lang w:val="en"/>
        </w:rPr>
        <w:t>后要求以法人名义签订合同的，该个人必须是该法人的法定代表人，且该</w:t>
      </w:r>
      <w:proofErr w:type="gramStart"/>
      <w:r>
        <w:rPr>
          <w:rFonts w:ascii="Arial" w:hAnsi="Arial" w:cs="Arial"/>
          <w:color w:val="111111"/>
          <w:lang w:val="en"/>
        </w:rPr>
        <w:t>法人须未列入</w:t>
      </w:r>
      <w:proofErr w:type="gramEnd"/>
      <w:r>
        <w:rPr>
          <w:rFonts w:ascii="Arial" w:hAnsi="Arial" w:cs="Arial"/>
          <w:color w:val="111111"/>
          <w:lang w:val="en"/>
        </w:rPr>
        <w:t>资产交易平台信用风险警示名单）；以法人名义报名的，须以法人名义签订合同。</w:t>
      </w:r>
    </w:p>
    <w:p w14:paraId="7BCB8D28"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lastRenderedPageBreak/>
        <w:t>竞得人与合同签订人名称不匹配的（委托他人签订合同并出具委托证明的除外），或竞得人不与集体经济组织签订《成交确认书》和正式合同的，视为自动放弃交易，竞得人缴纳的交易保证金不予退回，并归集体经济组织所有。交易双方签订的《成交确认书》和正式合同要留存一份给镇农村集体资产管理部门备案。</w:t>
      </w:r>
    </w:p>
    <w:p w14:paraId="4AF32620"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镇交易中心将交易结果在东莞市农村（社区）集体资产管理网、镇港电子政务外</w:t>
      </w:r>
      <w:proofErr w:type="gramStart"/>
      <w:r>
        <w:rPr>
          <w:rFonts w:ascii="Arial" w:hAnsi="Arial" w:cs="Arial"/>
          <w:color w:val="111111"/>
          <w:lang w:val="en"/>
        </w:rPr>
        <w:t>网公开</w:t>
      </w:r>
      <w:proofErr w:type="gramEnd"/>
      <w:r>
        <w:rPr>
          <w:rFonts w:ascii="Arial" w:hAnsi="Arial" w:cs="Arial"/>
          <w:color w:val="111111"/>
          <w:lang w:val="en"/>
        </w:rPr>
        <w:t>发布，同时，集体经济组织要在本村（组）财务公布栏公布。</w:t>
      </w:r>
    </w:p>
    <w:p w14:paraId="6D0A775C" w14:textId="77777777" w:rsidR="00B26894" w:rsidRDefault="00B26894" w:rsidP="00B26894">
      <w:pPr>
        <w:pStyle w:val="p5"/>
        <w:spacing w:before="0" w:beforeAutospacing="0" w:after="150" w:afterAutospacing="0"/>
        <w:rPr>
          <w:rFonts w:ascii="Arial" w:hAnsi="Arial" w:cs="Arial"/>
          <w:color w:val="111111"/>
          <w:lang w:val="en"/>
        </w:rPr>
      </w:pPr>
      <w:r>
        <w:rPr>
          <w:rStyle w:val="s11"/>
          <w:rFonts w:ascii="Arial" w:hAnsi="Arial" w:cs="Arial"/>
          <w:color w:val="111111"/>
          <w:lang w:val="en"/>
        </w:rPr>
        <w:t>第六章</w:t>
      </w:r>
      <w:r>
        <w:rPr>
          <w:rStyle w:val="s11"/>
          <w:rFonts w:ascii="Arial" w:hAnsi="Arial" w:cs="Arial"/>
          <w:color w:val="111111"/>
          <w:lang w:val="en"/>
        </w:rPr>
        <w:t xml:space="preserve"> </w:t>
      </w:r>
      <w:r>
        <w:rPr>
          <w:rStyle w:val="s11"/>
          <w:rFonts w:ascii="Arial" w:hAnsi="Arial" w:cs="Arial"/>
          <w:color w:val="111111"/>
          <w:lang w:val="en"/>
        </w:rPr>
        <w:t>村级交易</w:t>
      </w:r>
    </w:p>
    <w:p w14:paraId="4591E72D"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第二十四条</w:t>
      </w:r>
      <w:r>
        <w:rPr>
          <w:rFonts w:ascii="Arial" w:hAnsi="Arial" w:cs="Arial"/>
          <w:color w:val="111111"/>
          <w:lang w:val="en"/>
        </w:rPr>
        <w:t xml:space="preserve"> </w:t>
      </w:r>
      <w:r>
        <w:rPr>
          <w:rFonts w:ascii="Arial" w:hAnsi="Arial" w:cs="Arial"/>
          <w:color w:val="111111"/>
          <w:lang w:val="en"/>
        </w:rPr>
        <w:t>村级交易点须指定固定交易场所，名称统一为</w:t>
      </w:r>
      <w:r>
        <w:rPr>
          <w:rFonts w:ascii="Arial" w:hAnsi="Arial" w:cs="Arial"/>
          <w:color w:val="111111"/>
          <w:lang w:val="en"/>
        </w:rPr>
        <w:t>“</w:t>
      </w:r>
      <w:r>
        <w:rPr>
          <w:rFonts w:ascii="Arial" w:hAnsi="Arial" w:cs="Arial"/>
          <w:color w:val="111111"/>
          <w:lang w:val="en"/>
        </w:rPr>
        <w:t>东莞市沙田镇</w:t>
      </w:r>
      <w:r>
        <w:rPr>
          <w:rFonts w:ascii="Arial" w:hAnsi="Arial" w:cs="Arial"/>
          <w:color w:val="111111"/>
          <w:lang w:val="en"/>
        </w:rPr>
        <w:t>XX</w:t>
      </w:r>
      <w:r>
        <w:rPr>
          <w:rFonts w:ascii="Arial" w:hAnsi="Arial" w:cs="Arial"/>
          <w:color w:val="111111"/>
          <w:lang w:val="en"/>
        </w:rPr>
        <w:t>村委会（社区）集体资产交易点</w:t>
      </w:r>
      <w:r>
        <w:rPr>
          <w:rFonts w:ascii="Arial" w:hAnsi="Arial" w:cs="Arial"/>
          <w:color w:val="111111"/>
          <w:lang w:val="en"/>
        </w:rPr>
        <w:t>”</w:t>
      </w:r>
      <w:r>
        <w:rPr>
          <w:rFonts w:ascii="Arial" w:hAnsi="Arial" w:cs="Arial"/>
          <w:color w:val="111111"/>
          <w:lang w:val="en"/>
        </w:rPr>
        <w:t>。村级交易点至少配备</w:t>
      </w:r>
      <w:r>
        <w:rPr>
          <w:rFonts w:ascii="Arial" w:hAnsi="Arial" w:cs="Arial"/>
          <w:color w:val="111111"/>
          <w:lang w:val="en"/>
        </w:rPr>
        <w:t>3</w:t>
      </w:r>
      <w:r>
        <w:rPr>
          <w:rFonts w:ascii="Arial" w:hAnsi="Arial" w:cs="Arial"/>
          <w:color w:val="111111"/>
          <w:lang w:val="en"/>
        </w:rPr>
        <w:t>名专职或兼职交易工作人员，须配备投影设备和监控设备，每场交易会必须全程监控录像，录像资料保存</w:t>
      </w:r>
      <w:r>
        <w:rPr>
          <w:rFonts w:ascii="Arial" w:hAnsi="Arial" w:cs="Arial"/>
          <w:color w:val="111111"/>
          <w:lang w:val="en"/>
        </w:rPr>
        <w:t>6</w:t>
      </w:r>
      <w:r>
        <w:rPr>
          <w:rFonts w:ascii="Arial" w:hAnsi="Arial" w:cs="Arial"/>
          <w:color w:val="111111"/>
          <w:lang w:val="en"/>
        </w:rPr>
        <w:t>个月以上。交易全过程使用市统一的交易软件系统进行业务操作。</w:t>
      </w:r>
    </w:p>
    <w:p w14:paraId="095E92C7"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第二十五条</w:t>
      </w:r>
      <w:r>
        <w:rPr>
          <w:rFonts w:ascii="Arial" w:hAnsi="Arial" w:cs="Arial"/>
          <w:color w:val="111111"/>
          <w:lang w:val="en"/>
        </w:rPr>
        <w:t xml:space="preserve"> </w:t>
      </w:r>
      <w:r>
        <w:rPr>
          <w:rFonts w:ascii="Arial" w:hAnsi="Arial" w:cs="Arial"/>
          <w:color w:val="111111"/>
          <w:lang w:val="en"/>
        </w:rPr>
        <w:t>村级交易点业务上接受镇农资办和镇交易中心的指导和监督。</w:t>
      </w:r>
    </w:p>
    <w:p w14:paraId="0C317F37"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第二十六条</w:t>
      </w:r>
      <w:r>
        <w:rPr>
          <w:rFonts w:ascii="Arial" w:hAnsi="Arial" w:cs="Arial"/>
          <w:color w:val="111111"/>
          <w:lang w:val="en"/>
        </w:rPr>
        <w:t xml:space="preserve"> </w:t>
      </w:r>
      <w:r>
        <w:rPr>
          <w:rFonts w:ascii="Arial" w:hAnsi="Arial" w:cs="Arial"/>
          <w:color w:val="111111"/>
          <w:lang w:val="en"/>
        </w:rPr>
        <w:t>村级平台交易在项目交易前，相关交易资料应事先提交镇农资办备案。</w:t>
      </w:r>
    </w:p>
    <w:p w14:paraId="61EA06D1"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第二十七条</w:t>
      </w:r>
      <w:r>
        <w:rPr>
          <w:rFonts w:ascii="Arial" w:hAnsi="Arial" w:cs="Arial"/>
          <w:color w:val="111111"/>
          <w:lang w:val="en"/>
        </w:rPr>
        <w:t xml:space="preserve"> </w:t>
      </w:r>
      <w:r>
        <w:rPr>
          <w:rFonts w:ascii="Arial" w:hAnsi="Arial" w:cs="Arial"/>
          <w:color w:val="111111"/>
          <w:lang w:val="en"/>
        </w:rPr>
        <w:t>村级交易点参照本办法第五章</w:t>
      </w:r>
      <w:r>
        <w:rPr>
          <w:rFonts w:ascii="Arial" w:hAnsi="Arial" w:cs="Arial"/>
          <w:color w:val="111111"/>
          <w:lang w:val="en"/>
        </w:rPr>
        <w:t>“</w:t>
      </w:r>
      <w:r>
        <w:rPr>
          <w:rFonts w:ascii="Arial" w:hAnsi="Arial" w:cs="Arial"/>
          <w:color w:val="111111"/>
          <w:lang w:val="en"/>
        </w:rPr>
        <w:t>镇级交易</w:t>
      </w:r>
      <w:r>
        <w:rPr>
          <w:rFonts w:ascii="Arial" w:hAnsi="Arial" w:cs="Arial"/>
          <w:color w:val="111111"/>
          <w:lang w:val="en"/>
        </w:rPr>
        <w:t>”</w:t>
      </w:r>
      <w:r>
        <w:rPr>
          <w:rFonts w:ascii="Arial" w:hAnsi="Arial" w:cs="Arial"/>
          <w:color w:val="111111"/>
          <w:lang w:val="en"/>
        </w:rPr>
        <w:t>的相关要求，负责村级交易的运作。</w:t>
      </w:r>
    </w:p>
    <w:p w14:paraId="6A1475B6" w14:textId="77777777" w:rsidR="00B26894" w:rsidRDefault="00B26894" w:rsidP="00B26894">
      <w:pPr>
        <w:pStyle w:val="p5"/>
        <w:spacing w:before="0" w:beforeAutospacing="0" w:after="150" w:afterAutospacing="0"/>
        <w:rPr>
          <w:rFonts w:ascii="Arial" w:hAnsi="Arial" w:cs="Arial"/>
          <w:color w:val="111111"/>
          <w:lang w:val="en"/>
        </w:rPr>
      </w:pPr>
      <w:r>
        <w:rPr>
          <w:rStyle w:val="s11"/>
          <w:rFonts w:ascii="Arial" w:hAnsi="Arial" w:cs="Arial"/>
          <w:color w:val="111111"/>
          <w:lang w:val="en"/>
        </w:rPr>
        <w:t>第七章</w:t>
      </w:r>
      <w:r>
        <w:rPr>
          <w:rStyle w:val="s11"/>
          <w:rFonts w:ascii="Arial" w:hAnsi="Arial" w:cs="Arial"/>
          <w:color w:val="111111"/>
          <w:lang w:val="en"/>
        </w:rPr>
        <w:t xml:space="preserve"> </w:t>
      </w:r>
      <w:r>
        <w:rPr>
          <w:rStyle w:val="s11"/>
          <w:rFonts w:ascii="Arial" w:hAnsi="Arial" w:cs="Arial"/>
          <w:color w:val="111111"/>
          <w:lang w:val="en"/>
        </w:rPr>
        <w:t>续约交易</w:t>
      </w:r>
    </w:p>
    <w:p w14:paraId="2DF4B5A3"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第二十八条</w:t>
      </w:r>
      <w:r>
        <w:rPr>
          <w:rFonts w:ascii="Arial" w:hAnsi="Arial" w:cs="Arial"/>
          <w:color w:val="111111"/>
          <w:lang w:val="en"/>
        </w:rPr>
        <w:t xml:space="preserve"> </w:t>
      </w:r>
      <w:r>
        <w:rPr>
          <w:rFonts w:ascii="Arial" w:hAnsi="Arial" w:cs="Arial"/>
          <w:color w:val="111111"/>
          <w:lang w:val="en"/>
        </w:rPr>
        <w:t>原租赁合同的承租方信誉良好，且</w:t>
      </w:r>
      <w:r>
        <w:rPr>
          <w:rFonts w:ascii="Arial" w:hAnsi="Arial" w:cs="Arial"/>
          <w:color w:val="111111"/>
          <w:lang w:val="en"/>
        </w:rPr>
        <w:t>5</w:t>
      </w:r>
      <w:r>
        <w:rPr>
          <w:rFonts w:ascii="Arial" w:hAnsi="Arial" w:cs="Arial"/>
          <w:color w:val="111111"/>
          <w:lang w:val="en"/>
        </w:rPr>
        <w:t>年内未纳入全市信用风险警示名单的，经业主单位同意，符合以下条件之一，可申请办理续约交易：</w:t>
      </w:r>
    </w:p>
    <w:p w14:paraId="1FE904FC"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一）优质企业：指国家创新型企业试点企业、国家火炬计划重点高新技术企业、国家高新技术企业、省民营科技企业、市民营科技企业、上市企业、上市后备企业、全国知识产权示范企业、全国知识产权试点企业、省知识产权示范企业、省知识产权优势企业、市专利试点企业、市专利培育企业；</w:t>
      </w:r>
    </w:p>
    <w:p w14:paraId="4970F80F"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（二）纳税大户：上年纳税金额</w:t>
      </w:r>
      <w:r>
        <w:rPr>
          <w:rFonts w:ascii="Arial" w:hAnsi="Arial" w:cs="Arial"/>
          <w:color w:val="111111"/>
          <w:lang w:val="en"/>
        </w:rPr>
        <w:t>60</w:t>
      </w:r>
      <w:r>
        <w:rPr>
          <w:rFonts w:ascii="Arial" w:hAnsi="Arial" w:cs="Arial"/>
          <w:color w:val="111111"/>
          <w:lang w:val="en"/>
        </w:rPr>
        <w:t>万元以上的企业；</w:t>
      </w:r>
    </w:p>
    <w:p w14:paraId="0DE9405A"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（三）主体产业：在当地具有较大影响力，是集体经济组织收入主要来源，上年租金占村集体年收入总额</w:t>
      </w:r>
      <w:r>
        <w:rPr>
          <w:rFonts w:ascii="Arial" w:hAnsi="Arial" w:cs="Arial"/>
          <w:color w:val="111111"/>
          <w:lang w:val="en"/>
        </w:rPr>
        <w:t>10%</w:t>
      </w:r>
      <w:r>
        <w:rPr>
          <w:rFonts w:ascii="Arial" w:hAnsi="Arial" w:cs="Arial"/>
          <w:color w:val="111111"/>
          <w:lang w:val="en"/>
        </w:rPr>
        <w:t>以上，根据行业特点和实际需要应当续约经营的行业和企业；</w:t>
      </w:r>
    </w:p>
    <w:p w14:paraId="48567B8F"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lastRenderedPageBreak/>
        <w:t>（四）更新改造：对指定地域计划在将来某一时点进行连片开发、升级改造，已形成具体方案将付诸实施，在该预期开发时点期限内的物业租赁合同续期，续约期限原则上不超过一年；</w:t>
      </w:r>
    </w:p>
    <w:p w14:paraId="38CF0600"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（五）企业配套：对在镇港范围内或同一业主单位租用多宗资产的同一企业，其租赁资产的合同到期时间不一致，但合同已到期的资产是企业持续经营所必须配套的，可视需要对地域内合同已到期的资产续约，</w:t>
      </w:r>
      <w:proofErr w:type="gramStart"/>
      <w:r>
        <w:rPr>
          <w:rFonts w:ascii="Arial" w:hAnsi="Arial" w:cs="Arial"/>
          <w:color w:val="111111"/>
          <w:lang w:val="en"/>
        </w:rPr>
        <w:t>但续约期</w:t>
      </w:r>
      <w:proofErr w:type="gramEnd"/>
      <w:r>
        <w:rPr>
          <w:rFonts w:ascii="Arial" w:hAnsi="Arial" w:cs="Arial"/>
          <w:color w:val="111111"/>
          <w:lang w:val="en"/>
        </w:rPr>
        <w:t>不得超过其合同未到期资产中最长的剩余时限；</w:t>
      </w:r>
    </w:p>
    <w:p w14:paraId="7925FACC"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（六）持续经营：连续租用业主单位资产已达到</w:t>
      </w:r>
      <w:r>
        <w:rPr>
          <w:rFonts w:ascii="Arial" w:hAnsi="Arial" w:cs="Arial"/>
          <w:color w:val="111111"/>
          <w:lang w:val="en"/>
        </w:rPr>
        <w:t>5</w:t>
      </w:r>
      <w:r>
        <w:rPr>
          <w:rFonts w:ascii="Arial" w:hAnsi="Arial" w:cs="Arial"/>
          <w:color w:val="111111"/>
          <w:lang w:val="en"/>
        </w:rPr>
        <w:t>年以上（含</w:t>
      </w:r>
      <w:r>
        <w:rPr>
          <w:rFonts w:ascii="Arial" w:hAnsi="Arial" w:cs="Arial"/>
          <w:color w:val="111111"/>
          <w:lang w:val="en"/>
        </w:rPr>
        <w:t>5</w:t>
      </w:r>
      <w:r>
        <w:rPr>
          <w:rFonts w:ascii="Arial" w:hAnsi="Arial" w:cs="Arial"/>
          <w:color w:val="111111"/>
          <w:lang w:val="en"/>
        </w:rPr>
        <w:t>年），且无连续拖欠</w:t>
      </w:r>
      <w:r>
        <w:rPr>
          <w:rFonts w:ascii="Arial" w:hAnsi="Arial" w:cs="Arial"/>
          <w:color w:val="111111"/>
          <w:lang w:val="en"/>
        </w:rPr>
        <w:t>3</w:t>
      </w:r>
      <w:r>
        <w:rPr>
          <w:rFonts w:ascii="Arial" w:hAnsi="Arial" w:cs="Arial"/>
          <w:color w:val="111111"/>
          <w:lang w:val="en"/>
        </w:rPr>
        <w:t>个月以上租金记录的情况的企业。</w:t>
      </w:r>
    </w:p>
    <w:p w14:paraId="41136B48"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第二十九条</w:t>
      </w:r>
      <w:r>
        <w:rPr>
          <w:rFonts w:ascii="Arial" w:hAnsi="Arial" w:cs="Arial"/>
          <w:color w:val="111111"/>
          <w:lang w:val="en"/>
        </w:rPr>
        <w:t xml:space="preserve"> </w:t>
      </w:r>
      <w:r>
        <w:rPr>
          <w:rFonts w:ascii="Arial" w:hAnsi="Arial" w:cs="Arial"/>
          <w:color w:val="111111"/>
          <w:lang w:val="en"/>
        </w:rPr>
        <w:t>集体资产原交易合同到期前</w:t>
      </w:r>
      <w:r>
        <w:rPr>
          <w:rFonts w:ascii="Arial" w:hAnsi="Arial" w:cs="Arial"/>
          <w:color w:val="111111"/>
          <w:lang w:val="en"/>
        </w:rPr>
        <w:t>6</w:t>
      </w:r>
      <w:r>
        <w:rPr>
          <w:rFonts w:ascii="Arial" w:hAnsi="Arial" w:cs="Arial"/>
          <w:color w:val="111111"/>
          <w:lang w:val="en"/>
        </w:rPr>
        <w:t>个月内，可按条件进行续约交易。</w:t>
      </w:r>
      <w:proofErr w:type="gramStart"/>
      <w:r>
        <w:rPr>
          <w:rFonts w:ascii="Arial" w:hAnsi="Arial" w:cs="Arial"/>
          <w:color w:val="111111"/>
          <w:lang w:val="en"/>
        </w:rPr>
        <w:t>若集体</w:t>
      </w:r>
      <w:proofErr w:type="gramEnd"/>
      <w:r>
        <w:rPr>
          <w:rFonts w:ascii="Arial" w:hAnsi="Arial" w:cs="Arial"/>
          <w:color w:val="111111"/>
          <w:lang w:val="en"/>
        </w:rPr>
        <w:t>资产的承租方已连续租用交易合同所指标的</w:t>
      </w:r>
      <w:r>
        <w:rPr>
          <w:rFonts w:ascii="Arial" w:hAnsi="Arial" w:cs="Arial"/>
          <w:color w:val="111111"/>
          <w:lang w:val="en"/>
        </w:rPr>
        <w:t>8</w:t>
      </w:r>
      <w:r>
        <w:rPr>
          <w:rFonts w:ascii="Arial" w:hAnsi="Arial" w:cs="Arial"/>
          <w:color w:val="111111"/>
          <w:lang w:val="en"/>
        </w:rPr>
        <w:t>年以上（含</w:t>
      </w:r>
      <w:r>
        <w:rPr>
          <w:rFonts w:ascii="Arial" w:hAnsi="Arial" w:cs="Arial"/>
          <w:color w:val="111111"/>
          <w:lang w:val="en"/>
        </w:rPr>
        <w:t>8</w:t>
      </w:r>
      <w:r>
        <w:rPr>
          <w:rFonts w:ascii="Arial" w:hAnsi="Arial" w:cs="Arial"/>
          <w:color w:val="111111"/>
          <w:lang w:val="en"/>
        </w:rPr>
        <w:t>年），或原交易合同年租金收入占上年集体总收入</w:t>
      </w:r>
      <w:r>
        <w:rPr>
          <w:rFonts w:ascii="Arial" w:hAnsi="Arial" w:cs="Arial"/>
          <w:color w:val="111111"/>
          <w:lang w:val="en"/>
        </w:rPr>
        <w:t>10</w:t>
      </w:r>
      <w:r>
        <w:rPr>
          <w:rFonts w:ascii="Arial" w:hAnsi="Arial" w:cs="Arial"/>
          <w:color w:val="111111"/>
          <w:lang w:val="en"/>
        </w:rPr>
        <w:t>％以上（含</w:t>
      </w:r>
      <w:r>
        <w:rPr>
          <w:rFonts w:ascii="Arial" w:hAnsi="Arial" w:cs="Arial"/>
          <w:color w:val="111111"/>
          <w:lang w:val="en"/>
        </w:rPr>
        <w:t>10%</w:t>
      </w:r>
      <w:r>
        <w:rPr>
          <w:rFonts w:ascii="Arial" w:hAnsi="Arial" w:cs="Arial"/>
          <w:color w:val="111111"/>
          <w:lang w:val="en"/>
        </w:rPr>
        <w:t>）的，续约办理期可放宽</w:t>
      </w:r>
      <w:proofErr w:type="gramStart"/>
      <w:r>
        <w:rPr>
          <w:rFonts w:ascii="Arial" w:hAnsi="Arial" w:cs="Arial"/>
          <w:color w:val="111111"/>
          <w:lang w:val="en"/>
        </w:rPr>
        <w:t>至集体</w:t>
      </w:r>
      <w:proofErr w:type="gramEnd"/>
      <w:r>
        <w:rPr>
          <w:rFonts w:ascii="Arial" w:hAnsi="Arial" w:cs="Arial"/>
          <w:color w:val="111111"/>
          <w:lang w:val="en"/>
        </w:rPr>
        <w:t>资产原交易合同到期前</w:t>
      </w:r>
      <w:r>
        <w:rPr>
          <w:rFonts w:ascii="Arial" w:hAnsi="Arial" w:cs="Arial"/>
          <w:color w:val="111111"/>
          <w:lang w:val="en"/>
        </w:rPr>
        <w:t>2</w:t>
      </w:r>
      <w:r>
        <w:rPr>
          <w:rFonts w:ascii="Arial" w:hAnsi="Arial" w:cs="Arial"/>
          <w:color w:val="111111"/>
          <w:lang w:val="en"/>
        </w:rPr>
        <w:t>年内。集体资产原交易合同已到期超过</w:t>
      </w:r>
      <w:r>
        <w:rPr>
          <w:rFonts w:ascii="Arial" w:hAnsi="Arial" w:cs="Arial"/>
          <w:color w:val="111111"/>
          <w:lang w:val="en"/>
        </w:rPr>
        <w:t>30</w:t>
      </w:r>
      <w:r>
        <w:rPr>
          <w:rFonts w:ascii="Arial" w:hAnsi="Arial" w:cs="Arial"/>
          <w:color w:val="111111"/>
          <w:lang w:val="en"/>
        </w:rPr>
        <w:t>天，原租用方提出续约申请的，不得受理。</w:t>
      </w:r>
    </w:p>
    <w:p w14:paraId="210776B6"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第三十条</w:t>
      </w:r>
      <w:r>
        <w:rPr>
          <w:rFonts w:ascii="Arial" w:hAnsi="Arial" w:cs="Arial"/>
          <w:color w:val="111111"/>
          <w:lang w:val="en"/>
        </w:rPr>
        <w:t xml:space="preserve"> </w:t>
      </w:r>
      <w:r>
        <w:rPr>
          <w:rFonts w:ascii="Arial" w:hAnsi="Arial" w:cs="Arial"/>
          <w:color w:val="111111"/>
          <w:lang w:val="en"/>
        </w:rPr>
        <w:t>续约交易，应按如下流程办理：</w:t>
      </w:r>
    </w:p>
    <w:p w14:paraId="3661D785"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（一）由原承租方向业主单位提出续约申请，业主单位与原承租方协商初步意见，相关材料在村（或组）公布栏公示</w:t>
      </w:r>
      <w:r>
        <w:rPr>
          <w:rFonts w:ascii="Arial" w:hAnsi="Arial" w:cs="Arial"/>
          <w:color w:val="111111"/>
          <w:lang w:val="en"/>
        </w:rPr>
        <w:t>5</w:t>
      </w:r>
      <w:r>
        <w:rPr>
          <w:rFonts w:ascii="Arial" w:hAnsi="Arial" w:cs="Arial"/>
          <w:color w:val="111111"/>
          <w:lang w:val="en"/>
        </w:rPr>
        <w:t>天；</w:t>
      </w:r>
    </w:p>
    <w:p w14:paraId="6295D405"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（二）经公示后，业主单位将立项申请表和交易方案，并附上相关证明资料提交镇农资办审查；</w:t>
      </w:r>
    </w:p>
    <w:p w14:paraId="28F3A154"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（三）审查同意后，经集体经济组织股东代表大会表决；</w:t>
      </w:r>
    </w:p>
    <w:p w14:paraId="2580E15E"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（四）表决通过后，由业主单位与原承租方</w:t>
      </w:r>
      <w:proofErr w:type="gramStart"/>
      <w:r>
        <w:rPr>
          <w:rFonts w:ascii="Arial" w:hAnsi="Arial" w:cs="Arial"/>
          <w:color w:val="111111"/>
          <w:lang w:val="en"/>
        </w:rPr>
        <w:t>签定</w:t>
      </w:r>
      <w:proofErr w:type="gramEnd"/>
      <w:r>
        <w:rPr>
          <w:rFonts w:ascii="Arial" w:hAnsi="Arial" w:cs="Arial"/>
          <w:color w:val="111111"/>
          <w:lang w:val="en"/>
        </w:rPr>
        <w:t>续约合同；</w:t>
      </w:r>
    </w:p>
    <w:p w14:paraId="5C52A26C"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（五）将续约合同及股东代表大会表决材料的复印件报镇农资办备案。</w:t>
      </w:r>
    </w:p>
    <w:p w14:paraId="692DE9D1"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第三十一条</w:t>
      </w:r>
      <w:r>
        <w:rPr>
          <w:rFonts w:ascii="Arial" w:hAnsi="Arial" w:cs="Arial"/>
          <w:color w:val="111111"/>
          <w:lang w:val="en"/>
        </w:rPr>
        <w:t xml:space="preserve"> </w:t>
      </w:r>
      <w:r>
        <w:rPr>
          <w:rFonts w:ascii="Arial" w:hAnsi="Arial" w:cs="Arial"/>
          <w:color w:val="111111"/>
          <w:lang w:val="en"/>
        </w:rPr>
        <w:t>续约租金月单价不得低于此前租赁期内最后一个月的租金单价，且不得明显低于周边同类型物业的租金水平。续约合同一般</w:t>
      </w:r>
      <w:proofErr w:type="gramStart"/>
      <w:r>
        <w:rPr>
          <w:rFonts w:ascii="Arial" w:hAnsi="Arial" w:cs="Arial"/>
          <w:color w:val="111111"/>
          <w:lang w:val="en"/>
        </w:rPr>
        <w:t>不</w:t>
      </w:r>
      <w:proofErr w:type="gramEnd"/>
      <w:r>
        <w:rPr>
          <w:rFonts w:ascii="Arial" w:hAnsi="Arial" w:cs="Arial"/>
          <w:color w:val="111111"/>
          <w:lang w:val="en"/>
        </w:rPr>
        <w:t>设定免租期，确须设定免租期的，由股东代表大会表决通过。续约合同的续租期不能超原合同的租赁期限且最长不能超过</w:t>
      </w:r>
      <w:r>
        <w:rPr>
          <w:rFonts w:ascii="Arial" w:hAnsi="Arial" w:cs="Arial"/>
          <w:color w:val="111111"/>
          <w:lang w:val="en"/>
        </w:rPr>
        <w:t>10</w:t>
      </w:r>
      <w:r>
        <w:rPr>
          <w:rFonts w:ascii="Arial" w:hAnsi="Arial" w:cs="Arial"/>
          <w:color w:val="111111"/>
          <w:lang w:val="en"/>
        </w:rPr>
        <w:t>年。</w:t>
      </w:r>
    </w:p>
    <w:p w14:paraId="216FD5F0" w14:textId="77777777" w:rsidR="00B26894" w:rsidRDefault="00B26894" w:rsidP="00B26894">
      <w:pPr>
        <w:pStyle w:val="p5"/>
        <w:spacing w:before="0" w:beforeAutospacing="0" w:after="150" w:afterAutospacing="0"/>
        <w:rPr>
          <w:rFonts w:ascii="Arial" w:hAnsi="Arial" w:cs="Arial"/>
          <w:color w:val="111111"/>
          <w:lang w:val="en"/>
        </w:rPr>
      </w:pPr>
      <w:r>
        <w:rPr>
          <w:rStyle w:val="s11"/>
          <w:rFonts w:ascii="Arial" w:hAnsi="Arial" w:cs="Arial"/>
          <w:color w:val="111111"/>
          <w:lang w:val="en"/>
        </w:rPr>
        <w:t>第八章</w:t>
      </w:r>
      <w:r>
        <w:rPr>
          <w:rStyle w:val="s11"/>
          <w:rFonts w:ascii="Arial" w:hAnsi="Arial" w:cs="Arial"/>
          <w:color w:val="111111"/>
          <w:lang w:val="en"/>
        </w:rPr>
        <w:t xml:space="preserve"> </w:t>
      </w:r>
      <w:r>
        <w:rPr>
          <w:rStyle w:val="s11"/>
          <w:rFonts w:ascii="Arial" w:hAnsi="Arial" w:cs="Arial"/>
          <w:color w:val="111111"/>
          <w:lang w:val="en"/>
        </w:rPr>
        <w:t>小额资产交易</w:t>
      </w:r>
    </w:p>
    <w:p w14:paraId="5A6F17F3"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第三十二条</w:t>
      </w:r>
      <w:r>
        <w:rPr>
          <w:rFonts w:ascii="Arial" w:hAnsi="Arial" w:cs="Arial"/>
          <w:color w:val="111111"/>
          <w:lang w:val="en"/>
        </w:rPr>
        <w:t xml:space="preserve"> </w:t>
      </w:r>
      <w:r>
        <w:rPr>
          <w:rFonts w:ascii="Arial" w:hAnsi="Arial" w:cs="Arial"/>
          <w:color w:val="111111"/>
          <w:lang w:val="en"/>
        </w:rPr>
        <w:t>同时满足下列条件，属小额资产：</w:t>
      </w:r>
    </w:p>
    <w:p w14:paraId="72F6B538"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（一）租赁期不超</w:t>
      </w:r>
      <w:r>
        <w:rPr>
          <w:rFonts w:ascii="Arial" w:hAnsi="Arial" w:cs="Arial"/>
          <w:color w:val="111111"/>
          <w:lang w:val="en"/>
        </w:rPr>
        <w:t>2</w:t>
      </w:r>
      <w:r>
        <w:rPr>
          <w:rFonts w:ascii="Arial" w:hAnsi="Arial" w:cs="Arial"/>
          <w:color w:val="111111"/>
          <w:lang w:val="en"/>
        </w:rPr>
        <w:t>年（含</w:t>
      </w:r>
      <w:r>
        <w:rPr>
          <w:rFonts w:ascii="Arial" w:hAnsi="Arial" w:cs="Arial"/>
          <w:color w:val="111111"/>
          <w:lang w:val="en"/>
        </w:rPr>
        <w:t>2</w:t>
      </w:r>
      <w:r>
        <w:rPr>
          <w:rFonts w:ascii="Arial" w:hAnsi="Arial" w:cs="Arial"/>
          <w:color w:val="111111"/>
          <w:lang w:val="en"/>
        </w:rPr>
        <w:t>年）；</w:t>
      </w:r>
    </w:p>
    <w:p w14:paraId="7D930D6A"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（二）标的物年租金金额不超</w:t>
      </w:r>
      <w:r>
        <w:rPr>
          <w:rFonts w:ascii="Arial" w:hAnsi="Arial" w:cs="Arial"/>
          <w:color w:val="111111"/>
          <w:lang w:val="en"/>
        </w:rPr>
        <w:t>3</w:t>
      </w:r>
      <w:r>
        <w:rPr>
          <w:rFonts w:ascii="Arial" w:hAnsi="Arial" w:cs="Arial"/>
          <w:color w:val="111111"/>
          <w:lang w:val="en"/>
        </w:rPr>
        <w:t>万元（含</w:t>
      </w:r>
      <w:r>
        <w:rPr>
          <w:rFonts w:ascii="Arial" w:hAnsi="Arial" w:cs="Arial"/>
          <w:color w:val="111111"/>
          <w:lang w:val="en"/>
        </w:rPr>
        <w:t>3</w:t>
      </w:r>
      <w:r>
        <w:rPr>
          <w:rFonts w:ascii="Arial" w:hAnsi="Arial" w:cs="Arial"/>
          <w:color w:val="111111"/>
          <w:lang w:val="en"/>
        </w:rPr>
        <w:t>万元）；</w:t>
      </w:r>
    </w:p>
    <w:p w14:paraId="0D76A741"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lastRenderedPageBreak/>
        <w:t>（三）非农业用地的农村集体资产。</w:t>
      </w:r>
    </w:p>
    <w:p w14:paraId="1BFB12F3"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第三十三条</w:t>
      </w:r>
      <w:r>
        <w:rPr>
          <w:rFonts w:ascii="Arial" w:hAnsi="Arial" w:cs="Arial"/>
          <w:color w:val="111111"/>
          <w:lang w:val="en"/>
        </w:rPr>
        <w:t xml:space="preserve"> </w:t>
      </w:r>
      <w:r>
        <w:rPr>
          <w:rFonts w:ascii="Arial" w:hAnsi="Arial" w:cs="Arial"/>
          <w:color w:val="111111"/>
          <w:lang w:val="en"/>
        </w:rPr>
        <w:t>小额资产必须参照村级交易程序上平台交易一次。若交易不成功的，允许</w:t>
      </w:r>
      <w:proofErr w:type="gramStart"/>
      <w:r>
        <w:rPr>
          <w:rFonts w:ascii="Arial" w:hAnsi="Arial" w:cs="Arial"/>
          <w:color w:val="111111"/>
          <w:lang w:val="en"/>
        </w:rPr>
        <w:t>自交易</w:t>
      </w:r>
      <w:proofErr w:type="gramEnd"/>
      <w:r>
        <w:rPr>
          <w:rFonts w:ascii="Arial" w:hAnsi="Arial" w:cs="Arial"/>
          <w:color w:val="111111"/>
          <w:lang w:val="en"/>
        </w:rPr>
        <w:t>终止之日起</w:t>
      </w:r>
      <w:r>
        <w:rPr>
          <w:rFonts w:ascii="Arial" w:hAnsi="Arial" w:cs="Arial"/>
          <w:color w:val="111111"/>
          <w:lang w:val="en"/>
        </w:rPr>
        <w:t>2</w:t>
      </w:r>
      <w:r>
        <w:rPr>
          <w:rFonts w:ascii="Arial" w:hAnsi="Arial" w:cs="Arial"/>
          <w:color w:val="111111"/>
          <w:lang w:val="en"/>
        </w:rPr>
        <w:t>年内在不改变原交易方案主要条件的基础上，向镇农资办提交立项申请表和交易方案（附上相关证明资料）备案后，可与交易意向人达成交易。</w:t>
      </w:r>
    </w:p>
    <w:p w14:paraId="0A12BFCF"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主要条件</w:t>
      </w:r>
      <w:proofErr w:type="gramStart"/>
      <w:r>
        <w:rPr>
          <w:rFonts w:ascii="Arial" w:hAnsi="Arial" w:cs="Arial"/>
          <w:color w:val="111111"/>
          <w:lang w:val="en"/>
        </w:rPr>
        <w:t>不变指</w:t>
      </w:r>
      <w:proofErr w:type="gramEnd"/>
      <w:r>
        <w:rPr>
          <w:rFonts w:ascii="Arial" w:hAnsi="Arial" w:cs="Arial"/>
          <w:color w:val="111111"/>
          <w:lang w:val="en"/>
        </w:rPr>
        <w:t>合同的期限不增减、资产用途不改变、合同底价不降低。若改变主要条款交易，须按规定重新立项。</w:t>
      </w:r>
    </w:p>
    <w:p w14:paraId="0C551F46"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第三十四条</w:t>
      </w:r>
      <w:r>
        <w:rPr>
          <w:rFonts w:ascii="Arial" w:hAnsi="Arial" w:cs="Arial"/>
          <w:color w:val="111111"/>
          <w:lang w:val="en"/>
        </w:rPr>
        <w:t xml:space="preserve"> </w:t>
      </w:r>
      <w:r>
        <w:rPr>
          <w:rFonts w:ascii="Arial" w:hAnsi="Arial" w:cs="Arial"/>
          <w:color w:val="111111"/>
          <w:lang w:val="en"/>
        </w:rPr>
        <w:t>原值在</w:t>
      </w:r>
      <w:r>
        <w:rPr>
          <w:rFonts w:ascii="Arial" w:hAnsi="Arial" w:cs="Arial"/>
          <w:color w:val="111111"/>
          <w:lang w:val="en"/>
        </w:rPr>
        <w:t>2</w:t>
      </w:r>
      <w:r>
        <w:rPr>
          <w:rFonts w:ascii="Arial" w:hAnsi="Arial" w:cs="Arial"/>
          <w:color w:val="111111"/>
          <w:lang w:val="en"/>
        </w:rPr>
        <w:t>万元以下（含</w:t>
      </w:r>
      <w:r>
        <w:rPr>
          <w:rFonts w:ascii="Arial" w:hAnsi="Arial" w:cs="Arial"/>
          <w:color w:val="111111"/>
          <w:lang w:val="en"/>
        </w:rPr>
        <w:t>2</w:t>
      </w:r>
      <w:r>
        <w:rPr>
          <w:rFonts w:ascii="Arial" w:hAnsi="Arial" w:cs="Arial"/>
          <w:color w:val="111111"/>
          <w:lang w:val="en"/>
        </w:rPr>
        <w:t>万元）的固定资产报废变卖可不上平台交易，批量处理且批量原值超过</w:t>
      </w:r>
      <w:r>
        <w:rPr>
          <w:rFonts w:ascii="Arial" w:hAnsi="Arial" w:cs="Arial"/>
          <w:color w:val="111111"/>
          <w:lang w:val="en"/>
        </w:rPr>
        <w:t>2</w:t>
      </w:r>
      <w:r>
        <w:rPr>
          <w:rFonts w:ascii="Arial" w:hAnsi="Arial" w:cs="Arial"/>
          <w:color w:val="111111"/>
          <w:lang w:val="en"/>
        </w:rPr>
        <w:t>万元的除外。</w:t>
      </w:r>
    </w:p>
    <w:p w14:paraId="389D8750" w14:textId="77777777" w:rsidR="00B26894" w:rsidRDefault="00B26894" w:rsidP="00B26894">
      <w:pPr>
        <w:pStyle w:val="p5"/>
        <w:spacing w:before="0" w:beforeAutospacing="0" w:after="150" w:afterAutospacing="0"/>
        <w:rPr>
          <w:rFonts w:ascii="Arial" w:hAnsi="Arial" w:cs="Arial"/>
          <w:color w:val="111111"/>
          <w:lang w:val="en"/>
        </w:rPr>
      </w:pPr>
      <w:r>
        <w:rPr>
          <w:rStyle w:val="s11"/>
          <w:rFonts w:ascii="Arial" w:hAnsi="Arial" w:cs="Arial"/>
          <w:color w:val="111111"/>
          <w:lang w:val="en"/>
        </w:rPr>
        <w:t>第九章</w:t>
      </w:r>
      <w:r>
        <w:rPr>
          <w:rStyle w:val="s11"/>
          <w:rFonts w:ascii="Arial" w:hAnsi="Arial" w:cs="Arial"/>
          <w:color w:val="111111"/>
          <w:lang w:val="en"/>
        </w:rPr>
        <w:t xml:space="preserve"> </w:t>
      </w:r>
      <w:r>
        <w:rPr>
          <w:rStyle w:val="s11"/>
          <w:rFonts w:ascii="Arial" w:hAnsi="Arial" w:cs="Arial"/>
          <w:color w:val="111111"/>
          <w:lang w:val="en"/>
        </w:rPr>
        <w:t>磋商交易</w:t>
      </w:r>
    </w:p>
    <w:p w14:paraId="0E5CDB76"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第三十五条</w:t>
      </w:r>
      <w:r>
        <w:rPr>
          <w:rFonts w:ascii="Arial" w:hAnsi="Arial" w:cs="Arial"/>
          <w:color w:val="111111"/>
          <w:lang w:val="en"/>
        </w:rPr>
        <w:t xml:space="preserve"> </w:t>
      </w:r>
      <w:r>
        <w:rPr>
          <w:rFonts w:ascii="Arial" w:hAnsi="Arial" w:cs="Arial"/>
          <w:color w:val="111111"/>
          <w:lang w:val="en"/>
        </w:rPr>
        <w:t>经业主单位同意，符合以下条件之一，可申请办理磋商交易：</w:t>
      </w:r>
    </w:p>
    <w:p w14:paraId="1B5BF7B7"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（一）镇港相关部门、镇港下属企业因统筹发展需要，与村组集体经济组织达成的集体资产交易事项；</w:t>
      </w:r>
    </w:p>
    <w:p w14:paraId="323AE3A6"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（二）镇港招商引资落户到村的新立项项目，涉及村组集体资产的交易事项；</w:t>
      </w:r>
    </w:p>
    <w:p w14:paraId="183C2BAD"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（三）上级政府及镇</w:t>
      </w:r>
      <w:proofErr w:type="gramStart"/>
      <w:r>
        <w:rPr>
          <w:rFonts w:ascii="Arial" w:hAnsi="Arial" w:cs="Arial"/>
          <w:color w:val="111111"/>
          <w:lang w:val="en"/>
        </w:rPr>
        <w:t>港重点</w:t>
      </w:r>
      <w:proofErr w:type="gramEnd"/>
      <w:r>
        <w:rPr>
          <w:rFonts w:ascii="Arial" w:hAnsi="Arial" w:cs="Arial"/>
          <w:color w:val="111111"/>
          <w:lang w:val="en"/>
        </w:rPr>
        <w:t>工程项目的建设单位，因涉及相关工程的筹建、办公、堆放材料等需要，租用农村集体资产的事项；</w:t>
      </w:r>
    </w:p>
    <w:p w14:paraId="5764538E"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（四）</w:t>
      </w:r>
      <w:proofErr w:type="gramStart"/>
      <w:r>
        <w:rPr>
          <w:rFonts w:ascii="Arial" w:hAnsi="Arial" w:cs="Arial"/>
          <w:color w:val="111111"/>
          <w:lang w:val="en"/>
        </w:rPr>
        <w:t>属镇产业</w:t>
      </w:r>
      <w:proofErr w:type="gramEnd"/>
      <w:r>
        <w:rPr>
          <w:rFonts w:ascii="Arial" w:hAnsi="Arial" w:cs="Arial"/>
          <w:color w:val="111111"/>
          <w:lang w:val="en"/>
        </w:rPr>
        <w:t>导向政策或规划等特殊需要，经镇港党政联席会议同意，可以通过磋商交易的其他事项。</w:t>
      </w:r>
    </w:p>
    <w:p w14:paraId="3EE641E8"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第三十六条</w:t>
      </w:r>
      <w:r>
        <w:rPr>
          <w:rFonts w:ascii="Arial" w:hAnsi="Arial" w:cs="Arial"/>
          <w:color w:val="111111"/>
          <w:lang w:val="en"/>
        </w:rPr>
        <w:t xml:space="preserve"> </w:t>
      </w:r>
      <w:r>
        <w:rPr>
          <w:rFonts w:ascii="Arial" w:hAnsi="Arial" w:cs="Arial"/>
          <w:color w:val="111111"/>
          <w:lang w:val="en"/>
        </w:rPr>
        <w:t>磋商交易按如下流程办理：</w:t>
      </w:r>
    </w:p>
    <w:p w14:paraId="227B3A86"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（一）由业主单位提出立项申请，提交镇港党政联席会议讨论，提交资料包括：书面申请书，交易方案，由国土、环保和规划等部门出具的书面意见材料；</w:t>
      </w:r>
    </w:p>
    <w:p w14:paraId="6C80E6F7"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（二）经镇港党政联席会议同意后，由集体经济组织股东代表大会表决通过资产交易事项和交易方案；</w:t>
      </w:r>
    </w:p>
    <w:p w14:paraId="28298C17"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（三）业主单位将立项申请、交易方案、表决记录、部门意见材料和镇港党政联席会议复函等相关证明资料，报镇农资办审查；</w:t>
      </w:r>
    </w:p>
    <w:p w14:paraId="5CF019A8"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（四）业主方与意向人磋商达成交易，在镇农资办见证下签订合同；</w:t>
      </w:r>
    </w:p>
    <w:p w14:paraId="021530EE"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（五）交易合同报镇农资办备案。</w:t>
      </w:r>
    </w:p>
    <w:p w14:paraId="0202C759"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lastRenderedPageBreak/>
        <w:t>第三十七条</w:t>
      </w:r>
      <w:r>
        <w:rPr>
          <w:rFonts w:ascii="Arial" w:hAnsi="Arial" w:cs="Arial"/>
          <w:color w:val="111111"/>
          <w:lang w:val="en"/>
        </w:rPr>
        <w:t xml:space="preserve"> </w:t>
      </w:r>
      <w:r>
        <w:rPr>
          <w:rFonts w:ascii="Arial" w:hAnsi="Arial" w:cs="Arial"/>
          <w:color w:val="111111"/>
          <w:lang w:val="en"/>
        </w:rPr>
        <w:t>磋商交易签订的合同不能转租、转让，</w:t>
      </w:r>
      <w:proofErr w:type="gramStart"/>
      <w:r>
        <w:rPr>
          <w:rFonts w:ascii="Arial" w:hAnsi="Arial" w:cs="Arial"/>
          <w:color w:val="111111"/>
          <w:lang w:val="en"/>
        </w:rPr>
        <w:t>双方订签合同</w:t>
      </w:r>
      <w:proofErr w:type="gramEnd"/>
      <w:r>
        <w:rPr>
          <w:rFonts w:ascii="Arial" w:hAnsi="Arial" w:cs="Arial"/>
          <w:color w:val="111111"/>
          <w:lang w:val="en"/>
        </w:rPr>
        <w:t>时应注明</w:t>
      </w:r>
      <w:r>
        <w:rPr>
          <w:rFonts w:ascii="Arial" w:hAnsi="Arial" w:cs="Arial"/>
          <w:color w:val="111111"/>
          <w:lang w:val="en"/>
        </w:rPr>
        <w:t>“</w:t>
      </w:r>
      <w:r>
        <w:rPr>
          <w:rFonts w:ascii="Arial" w:hAnsi="Arial" w:cs="Arial"/>
          <w:color w:val="111111"/>
          <w:lang w:val="en"/>
        </w:rPr>
        <w:t>不能转租、转让</w:t>
      </w:r>
      <w:r>
        <w:rPr>
          <w:rFonts w:ascii="Arial" w:hAnsi="Arial" w:cs="Arial"/>
          <w:color w:val="111111"/>
          <w:lang w:val="en"/>
        </w:rPr>
        <w:t>”</w:t>
      </w:r>
      <w:r>
        <w:rPr>
          <w:rFonts w:ascii="Arial" w:hAnsi="Arial" w:cs="Arial"/>
          <w:color w:val="111111"/>
          <w:lang w:val="en"/>
        </w:rPr>
        <w:t>的条款。</w:t>
      </w:r>
    </w:p>
    <w:p w14:paraId="3FA64D3E" w14:textId="77777777" w:rsidR="00B26894" w:rsidRDefault="00B26894" w:rsidP="00B26894">
      <w:pPr>
        <w:pStyle w:val="p5"/>
        <w:spacing w:before="0" w:beforeAutospacing="0" w:after="150" w:afterAutospacing="0"/>
        <w:rPr>
          <w:rFonts w:ascii="Arial" w:hAnsi="Arial" w:cs="Arial"/>
          <w:color w:val="111111"/>
          <w:lang w:val="en"/>
        </w:rPr>
      </w:pPr>
      <w:r>
        <w:rPr>
          <w:rStyle w:val="s11"/>
          <w:rFonts w:ascii="Arial" w:hAnsi="Arial" w:cs="Arial"/>
          <w:color w:val="111111"/>
          <w:lang w:val="en"/>
        </w:rPr>
        <w:t>第十章</w:t>
      </w:r>
      <w:r>
        <w:rPr>
          <w:rStyle w:val="s11"/>
          <w:rFonts w:ascii="Arial" w:hAnsi="Arial" w:cs="Arial"/>
          <w:color w:val="111111"/>
          <w:lang w:val="en"/>
        </w:rPr>
        <w:t xml:space="preserve"> </w:t>
      </w:r>
      <w:r>
        <w:rPr>
          <w:rStyle w:val="s11"/>
          <w:rFonts w:ascii="Arial" w:hAnsi="Arial" w:cs="Arial"/>
          <w:color w:val="111111"/>
          <w:lang w:val="en"/>
        </w:rPr>
        <w:t>其他交易要求</w:t>
      </w:r>
    </w:p>
    <w:p w14:paraId="69EE1EEE"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第三十八条</w:t>
      </w:r>
      <w:r>
        <w:rPr>
          <w:rFonts w:ascii="Arial" w:hAnsi="Arial" w:cs="Arial"/>
          <w:color w:val="111111"/>
          <w:lang w:val="en"/>
        </w:rPr>
        <w:t xml:space="preserve"> </w:t>
      </w:r>
      <w:r>
        <w:rPr>
          <w:rFonts w:ascii="Arial" w:hAnsi="Arial" w:cs="Arial"/>
          <w:color w:val="111111"/>
          <w:lang w:val="en"/>
        </w:rPr>
        <w:t>集体经济组织占资产股权</w:t>
      </w:r>
      <w:r>
        <w:rPr>
          <w:rFonts w:ascii="Arial" w:hAnsi="Arial" w:cs="Arial"/>
          <w:color w:val="111111"/>
          <w:lang w:val="en"/>
        </w:rPr>
        <w:t>50%</w:t>
      </w:r>
      <w:r>
        <w:rPr>
          <w:rFonts w:ascii="Arial" w:hAnsi="Arial" w:cs="Arial"/>
          <w:color w:val="111111"/>
          <w:lang w:val="en"/>
        </w:rPr>
        <w:t>以上（</w:t>
      </w:r>
      <w:proofErr w:type="gramStart"/>
      <w:r>
        <w:rPr>
          <w:rFonts w:ascii="Arial" w:hAnsi="Arial" w:cs="Arial"/>
          <w:color w:val="111111"/>
          <w:lang w:val="en"/>
        </w:rPr>
        <w:t>含我市辖区</w:t>
      </w:r>
      <w:proofErr w:type="gramEnd"/>
      <w:r>
        <w:rPr>
          <w:rFonts w:ascii="Arial" w:hAnsi="Arial" w:cs="Arial"/>
          <w:color w:val="111111"/>
          <w:lang w:val="en"/>
        </w:rPr>
        <w:t>内不同集体经济组织共同出资合计占股</w:t>
      </w:r>
      <w:r>
        <w:rPr>
          <w:rFonts w:ascii="Arial" w:hAnsi="Arial" w:cs="Arial"/>
          <w:color w:val="111111"/>
          <w:lang w:val="en"/>
        </w:rPr>
        <w:t>50%</w:t>
      </w:r>
      <w:r>
        <w:rPr>
          <w:rFonts w:ascii="Arial" w:hAnsi="Arial" w:cs="Arial"/>
          <w:color w:val="111111"/>
          <w:lang w:val="en"/>
        </w:rPr>
        <w:t>以上）的资产项目，须按本办法的要求，选定交易方式进行资产交易。</w:t>
      </w:r>
    </w:p>
    <w:p w14:paraId="6F2579BC"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第三十九条</w:t>
      </w:r>
      <w:r>
        <w:rPr>
          <w:rFonts w:ascii="Arial" w:hAnsi="Arial" w:cs="Arial"/>
          <w:color w:val="111111"/>
          <w:lang w:val="en"/>
        </w:rPr>
        <w:t xml:space="preserve"> </w:t>
      </w:r>
      <w:r>
        <w:rPr>
          <w:rFonts w:ascii="Arial" w:hAnsi="Arial" w:cs="Arial"/>
          <w:color w:val="111111"/>
          <w:lang w:val="en"/>
        </w:rPr>
        <w:t>业主单位应认真核实提交的资产交易申请材料，并对公告信息及所提交材料的内容的真实性、完整性、有效性负责。业主单位对因提交资料不真实、不完整和无效等原因造成的经济和法律后果负全部责任。</w:t>
      </w:r>
    </w:p>
    <w:p w14:paraId="0BBC0302"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业主单位应对交易标的物面积进行核实，避免因标的物面积测量误差出现交易争议。由多块子资产组成的出租项目，业主单位应在提交立项资料时明确各项子资产明细租金底价标准。</w:t>
      </w:r>
    </w:p>
    <w:p w14:paraId="46CC11CF"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第四十条</w:t>
      </w:r>
      <w:r>
        <w:rPr>
          <w:rFonts w:ascii="Arial" w:hAnsi="Arial" w:cs="Arial"/>
          <w:color w:val="111111"/>
          <w:lang w:val="en"/>
        </w:rPr>
        <w:t xml:space="preserve"> </w:t>
      </w:r>
      <w:r>
        <w:rPr>
          <w:rFonts w:ascii="Arial" w:hAnsi="Arial" w:cs="Arial"/>
          <w:color w:val="111111"/>
          <w:lang w:val="en"/>
        </w:rPr>
        <w:t>业主单位制定集体资产交易方案时，对意向竞投人设定准入条件，须遵循以下三个原则：</w:t>
      </w:r>
    </w:p>
    <w:p w14:paraId="1DD400E0"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（一）农用地发包出租，其交易对象可优先设定为本村户籍村民或本村股东，其他资产的公开竞价交易，</w:t>
      </w:r>
      <w:proofErr w:type="gramStart"/>
      <w:r>
        <w:rPr>
          <w:rFonts w:ascii="Arial" w:hAnsi="Arial" w:cs="Arial"/>
          <w:color w:val="111111"/>
          <w:lang w:val="en"/>
        </w:rPr>
        <w:t>除行业</w:t>
      </w:r>
      <w:proofErr w:type="gramEnd"/>
      <w:r>
        <w:rPr>
          <w:rFonts w:ascii="Arial" w:hAnsi="Arial" w:cs="Arial"/>
          <w:color w:val="111111"/>
          <w:lang w:val="en"/>
        </w:rPr>
        <w:t>要求和信用要求外，不宜设定特定的准入条件；</w:t>
      </w:r>
    </w:p>
    <w:p w14:paraId="69326092"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（二）鼓励业主单位设置信用条件，但须有明确标准，原则上在交易方案中须有</w:t>
      </w:r>
      <w:r>
        <w:rPr>
          <w:rFonts w:ascii="Arial" w:hAnsi="Arial" w:cs="Arial"/>
          <w:color w:val="111111"/>
          <w:lang w:val="en"/>
        </w:rPr>
        <w:t>“</w:t>
      </w:r>
      <w:r>
        <w:rPr>
          <w:rFonts w:ascii="Arial" w:hAnsi="Arial" w:cs="Arial"/>
          <w:color w:val="111111"/>
          <w:lang w:val="en"/>
        </w:rPr>
        <w:t>不接受纳入东莞市农村（社区）集体资产交易平台信用风险警示名单的法人或自然人竞投报名</w:t>
      </w:r>
      <w:r>
        <w:rPr>
          <w:rFonts w:ascii="Arial" w:hAnsi="Arial" w:cs="Arial"/>
          <w:color w:val="111111"/>
          <w:lang w:val="en"/>
        </w:rPr>
        <w:t>”</w:t>
      </w:r>
      <w:r>
        <w:rPr>
          <w:rFonts w:ascii="Arial" w:hAnsi="Arial" w:cs="Arial"/>
          <w:color w:val="111111"/>
          <w:lang w:val="en"/>
        </w:rPr>
        <w:t>的条款；</w:t>
      </w:r>
    </w:p>
    <w:p w14:paraId="4CAFC104"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（三）设定交易门槛要慎重考虑或征询法律意见。</w:t>
      </w:r>
    </w:p>
    <w:p w14:paraId="0D8C9996"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第四十一条</w:t>
      </w:r>
      <w:r>
        <w:rPr>
          <w:rFonts w:ascii="Arial" w:hAnsi="Arial" w:cs="Arial"/>
          <w:color w:val="111111"/>
          <w:lang w:val="en"/>
        </w:rPr>
        <w:t xml:space="preserve"> </w:t>
      </w:r>
      <w:r>
        <w:rPr>
          <w:rFonts w:ascii="Arial" w:hAnsi="Arial" w:cs="Arial"/>
          <w:color w:val="111111"/>
          <w:lang w:val="en"/>
        </w:rPr>
        <w:t>竞投意向人办理报名手续时，镇交易中心（</w:t>
      </w:r>
      <w:proofErr w:type="gramStart"/>
      <w:r>
        <w:rPr>
          <w:rFonts w:ascii="Arial" w:hAnsi="Arial" w:cs="Arial"/>
          <w:color w:val="111111"/>
          <w:lang w:val="en"/>
        </w:rPr>
        <w:t>村交易</w:t>
      </w:r>
      <w:proofErr w:type="gramEnd"/>
      <w:r>
        <w:rPr>
          <w:rFonts w:ascii="Arial" w:hAnsi="Arial" w:cs="Arial"/>
          <w:color w:val="111111"/>
          <w:lang w:val="en"/>
        </w:rPr>
        <w:t>点）应向其出示业主单位拟定的合同文本。</w:t>
      </w:r>
    </w:p>
    <w:p w14:paraId="65ECCEE1"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竞投意向人对本人填写的《沙田镇农村集体资产竞投意向人申请表》内容及提交材料的真实性、完整性、有效性负责，同时，签订《竞投意向人提交及收到资料确认表》。</w:t>
      </w:r>
    </w:p>
    <w:p w14:paraId="48C98134"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第四十二条</w:t>
      </w:r>
      <w:r>
        <w:rPr>
          <w:rFonts w:ascii="Arial" w:hAnsi="Arial" w:cs="Arial"/>
          <w:color w:val="111111"/>
          <w:lang w:val="en"/>
        </w:rPr>
        <w:t xml:space="preserve"> </w:t>
      </w:r>
      <w:r>
        <w:rPr>
          <w:rFonts w:ascii="Arial" w:hAnsi="Arial" w:cs="Arial"/>
          <w:color w:val="111111"/>
          <w:lang w:val="en"/>
        </w:rPr>
        <w:t>竞投意向人可委托他人办理交易事务，但是报名交易时须使用意向竞投人的正式称谓，并应在交易中心现场办理委托手续，出具委托交易证明。</w:t>
      </w:r>
    </w:p>
    <w:p w14:paraId="756E7E35"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第四十三条</w:t>
      </w:r>
      <w:r>
        <w:rPr>
          <w:rFonts w:ascii="Arial" w:hAnsi="Arial" w:cs="Arial"/>
          <w:color w:val="111111"/>
          <w:lang w:val="en"/>
        </w:rPr>
        <w:t xml:space="preserve"> </w:t>
      </w:r>
      <w:r>
        <w:rPr>
          <w:rFonts w:ascii="Arial" w:hAnsi="Arial" w:cs="Arial"/>
          <w:color w:val="111111"/>
          <w:lang w:val="en"/>
        </w:rPr>
        <w:t>竞投人竞</w:t>
      </w:r>
      <w:proofErr w:type="gramStart"/>
      <w:r>
        <w:rPr>
          <w:rFonts w:ascii="Arial" w:hAnsi="Arial" w:cs="Arial"/>
          <w:color w:val="111111"/>
          <w:lang w:val="en"/>
        </w:rPr>
        <w:t>得交易</w:t>
      </w:r>
      <w:proofErr w:type="gramEnd"/>
      <w:r>
        <w:rPr>
          <w:rFonts w:ascii="Arial" w:hAnsi="Arial" w:cs="Arial"/>
          <w:color w:val="111111"/>
          <w:lang w:val="en"/>
        </w:rPr>
        <w:t>标的后因自身原因弃标，第</w:t>
      </w:r>
      <w:r>
        <w:rPr>
          <w:rFonts w:ascii="Arial" w:hAnsi="Arial" w:cs="Arial"/>
          <w:color w:val="111111"/>
          <w:lang w:val="en"/>
        </w:rPr>
        <w:t>2</w:t>
      </w:r>
      <w:r>
        <w:rPr>
          <w:rFonts w:ascii="Arial" w:hAnsi="Arial" w:cs="Arial"/>
          <w:color w:val="111111"/>
          <w:lang w:val="en"/>
        </w:rPr>
        <w:t>次重新组织交易时，若该竞投人继续报名，其须缴纳的交易保证金至少提高至该交易项目一般设定的保证金金额</w:t>
      </w:r>
      <w:r>
        <w:rPr>
          <w:rFonts w:ascii="Arial" w:hAnsi="Arial" w:cs="Arial"/>
          <w:color w:val="111111"/>
          <w:lang w:val="en"/>
        </w:rPr>
        <w:t>2</w:t>
      </w:r>
      <w:r>
        <w:rPr>
          <w:rFonts w:ascii="Arial" w:hAnsi="Arial" w:cs="Arial"/>
          <w:color w:val="111111"/>
          <w:lang w:val="en"/>
        </w:rPr>
        <w:t>倍以上（含</w:t>
      </w:r>
      <w:r>
        <w:rPr>
          <w:rFonts w:ascii="Arial" w:hAnsi="Arial" w:cs="Arial"/>
          <w:color w:val="111111"/>
          <w:lang w:val="en"/>
        </w:rPr>
        <w:t>2</w:t>
      </w:r>
      <w:r>
        <w:rPr>
          <w:rFonts w:ascii="Arial" w:hAnsi="Arial" w:cs="Arial"/>
          <w:color w:val="111111"/>
          <w:lang w:val="en"/>
        </w:rPr>
        <w:t>倍）。同一竞</w:t>
      </w:r>
      <w:r>
        <w:rPr>
          <w:rFonts w:ascii="Arial" w:hAnsi="Arial" w:cs="Arial"/>
          <w:color w:val="111111"/>
          <w:lang w:val="en"/>
        </w:rPr>
        <w:lastRenderedPageBreak/>
        <w:t>投人对同一交易标的竞得后</w:t>
      </w:r>
      <w:r>
        <w:rPr>
          <w:rFonts w:ascii="Arial" w:hAnsi="Arial" w:cs="Arial"/>
          <w:color w:val="111111"/>
          <w:lang w:val="en"/>
        </w:rPr>
        <w:t>2</w:t>
      </w:r>
      <w:r>
        <w:rPr>
          <w:rFonts w:ascii="Arial" w:hAnsi="Arial" w:cs="Arial"/>
          <w:color w:val="111111"/>
          <w:lang w:val="en"/>
        </w:rPr>
        <w:t>次弃标的，第</w:t>
      </w:r>
      <w:r>
        <w:rPr>
          <w:rFonts w:ascii="Arial" w:hAnsi="Arial" w:cs="Arial"/>
          <w:color w:val="111111"/>
          <w:lang w:val="en"/>
        </w:rPr>
        <w:t>3</w:t>
      </w:r>
      <w:r>
        <w:rPr>
          <w:rFonts w:ascii="Arial" w:hAnsi="Arial" w:cs="Arial"/>
          <w:color w:val="111111"/>
          <w:lang w:val="en"/>
        </w:rPr>
        <w:t>次重新组织交易时，不再接受其交易报名。</w:t>
      </w:r>
    </w:p>
    <w:p w14:paraId="2AEC9AAF"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第四十四条</w:t>
      </w:r>
      <w:r>
        <w:rPr>
          <w:rFonts w:ascii="Arial" w:hAnsi="Arial" w:cs="Arial"/>
          <w:color w:val="111111"/>
          <w:lang w:val="en"/>
        </w:rPr>
        <w:t xml:space="preserve"> </w:t>
      </w:r>
      <w:r>
        <w:rPr>
          <w:rFonts w:ascii="Arial" w:hAnsi="Arial" w:cs="Arial"/>
          <w:color w:val="111111"/>
          <w:lang w:val="en"/>
        </w:rPr>
        <w:t>交易合同签订时，不得修改交易资产有关标的物、年限、成交金额等主要条款。</w:t>
      </w:r>
    </w:p>
    <w:p w14:paraId="51F706E9"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交易合同签订后，不得修改合同条款，但可签订补充协议。补充协议不得修改原交易合同有关标的物、年限、金额（</w:t>
      </w:r>
      <w:proofErr w:type="gramStart"/>
      <w:r>
        <w:rPr>
          <w:rFonts w:ascii="Arial" w:hAnsi="Arial" w:cs="Arial"/>
          <w:color w:val="111111"/>
          <w:lang w:val="en"/>
        </w:rPr>
        <w:t>含合同</w:t>
      </w:r>
      <w:proofErr w:type="gramEnd"/>
      <w:r>
        <w:rPr>
          <w:rFonts w:ascii="Arial" w:hAnsi="Arial" w:cs="Arial"/>
          <w:color w:val="111111"/>
          <w:lang w:val="en"/>
        </w:rPr>
        <w:t>保证金金额，以保护业主方利益为原则）、用途等主要条款，并须经镇农资办审查备案。</w:t>
      </w:r>
    </w:p>
    <w:p w14:paraId="0CD10299"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第四十五条</w:t>
      </w:r>
      <w:r>
        <w:rPr>
          <w:rFonts w:ascii="Arial" w:hAnsi="Arial" w:cs="Arial"/>
          <w:color w:val="111111"/>
          <w:lang w:val="en"/>
        </w:rPr>
        <w:t xml:space="preserve"> </w:t>
      </w:r>
      <w:r>
        <w:rPr>
          <w:rFonts w:ascii="Arial" w:hAnsi="Arial" w:cs="Arial"/>
          <w:color w:val="111111"/>
          <w:lang w:val="en"/>
        </w:rPr>
        <w:t>由于交易流程等特殊因素影响，导致交易合同期不能按股东代表大会或交易方案所确定的合同起止期要求执行，允许在</w:t>
      </w:r>
      <w:r>
        <w:rPr>
          <w:rFonts w:ascii="Arial" w:hAnsi="Arial" w:cs="Arial"/>
          <w:color w:val="111111"/>
          <w:lang w:val="en"/>
        </w:rPr>
        <w:t>3</w:t>
      </w:r>
      <w:r>
        <w:rPr>
          <w:rFonts w:ascii="Arial" w:hAnsi="Arial" w:cs="Arial"/>
          <w:color w:val="111111"/>
          <w:lang w:val="en"/>
        </w:rPr>
        <w:t>个月内顺延起止期。</w:t>
      </w:r>
    </w:p>
    <w:p w14:paraId="495D54EA"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第四十六条</w:t>
      </w:r>
      <w:r>
        <w:rPr>
          <w:rFonts w:ascii="Arial" w:hAnsi="Arial" w:cs="Arial"/>
          <w:color w:val="111111"/>
          <w:lang w:val="en"/>
        </w:rPr>
        <w:t xml:space="preserve"> </w:t>
      </w:r>
      <w:r>
        <w:rPr>
          <w:rFonts w:ascii="Arial" w:hAnsi="Arial" w:cs="Arial"/>
          <w:color w:val="111111"/>
          <w:lang w:val="en"/>
        </w:rPr>
        <w:t>通过交易平台交易的租赁性标的在起租期半年内不得转租；半年后若乙方（租用方）要求转租（或转让）的，必须同时满足以下四个条件，签订的转租合同（或协议），须报镇交易中心备案：</w:t>
      </w:r>
    </w:p>
    <w:p w14:paraId="1C8F6ABA"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（一）原交易合同没有禁止转租的明确条款（若有禁止转租条款，但经股东代表大会表决同意，可视为不禁止转租）；</w:t>
      </w:r>
    </w:p>
    <w:p w14:paraId="44FE339E"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（二）转租合同期限须与原交易合同执行期相同；</w:t>
      </w:r>
    </w:p>
    <w:p w14:paraId="670F0A44"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（三）集体经济组织所收取的租金不低于原交易合同所载租金金额；</w:t>
      </w:r>
    </w:p>
    <w:p w14:paraId="4709B2B0"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（四）转租合同应保留原交易合同针对乙方的义务条款和要求。</w:t>
      </w:r>
    </w:p>
    <w:p w14:paraId="5A18D790" w14:textId="77777777" w:rsidR="00B26894" w:rsidRDefault="00B26894" w:rsidP="00B26894">
      <w:pPr>
        <w:pStyle w:val="p5"/>
        <w:spacing w:before="0" w:beforeAutospacing="0" w:after="150" w:afterAutospacing="0"/>
        <w:rPr>
          <w:rFonts w:ascii="Arial" w:hAnsi="Arial" w:cs="Arial"/>
          <w:color w:val="111111"/>
          <w:lang w:val="en"/>
        </w:rPr>
      </w:pPr>
      <w:r>
        <w:rPr>
          <w:rStyle w:val="s11"/>
          <w:rFonts w:ascii="Arial" w:hAnsi="Arial" w:cs="Arial"/>
          <w:color w:val="111111"/>
          <w:lang w:val="en"/>
        </w:rPr>
        <w:t>第十一章</w:t>
      </w:r>
      <w:r>
        <w:rPr>
          <w:rStyle w:val="s11"/>
          <w:rFonts w:ascii="Arial" w:hAnsi="Arial" w:cs="Arial"/>
          <w:color w:val="111111"/>
          <w:lang w:val="en"/>
        </w:rPr>
        <w:t xml:space="preserve"> </w:t>
      </w:r>
      <w:r>
        <w:rPr>
          <w:rStyle w:val="s11"/>
          <w:rFonts w:ascii="Arial" w:hAnsi="Arial" w:cs="Arial"/>
          <w:color w:val="111111"/>
          <w:lang w:val="en"/>
        </w:rPr>
        <w:t>交易监督和责任追究</w:t>
      </w:r>
    </w:p>
    <w:p w14:paraId="0612900C"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第四十七条</w:t>
      </w:r>
      <w:r>
        <w:rPr>
          <w:rFonts w:ascii="Arial" w:hAnsi="Arial" w:cs="Arial"/>
          <w:color w:val="111111"/>
          <w:lang w:val="en"/>
        </w:rPr>
        <w:t xml:space="preserve"> </w:t>
      </w:r>
      <w:r>
        <w:rPr>
          <w:rFonts w:ascii="Arial" w:hAnsi="Arial" w:cs="Arial"/>
          <w:color w:val="111111"/>
          <w:lang w:val="en"/>
        </w:rPr>
        <w:t>违反本办法规定进行集体资产交易的，按照《东莞市违反农村集体资产管理行为责任追究办法》及相关规定进行处理；造成集体经济损失的，由相关责任人依法承担赔偿责任；构成犯罪的，依法移送司法机关追究其刑事责任。</w:t>
      </w:r>
    </w:p>
    <w:p w14:paraId="112CE2F2"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第四十八条</w:t>
      </w:r>
      <w:r>
        <w:rPr>
          <w:rFonts w:ascii="Arial" w:hAnsi="Arial" w:cs="Arial"/>
          <w:color w:val="111111"/>
          <w:lang w:val="en"/>
        </w:rPr>
        <w:t xml:space="preserve"> </w:t>
      </w:r>
      <w:r>
        <w:rPr>
          <w:rFonts w:ascii="Arial" w:hAnsi="Arial" w:cs="Arial"/>
          <w:color w:val="111111"/>
          <w:lang w:val="en"/>
        </w:rPr>
        <w:t>组织或参与集体资产交易工作的人员存在滥用职权、玩忽职守、泄露标底、围标、串标等违法违纪行为的，依法追究其责任；造成集体经济组织和他人损失的，应当依法承担赔偿责任；构成犯罪的，依法移送司法机关追究其刑事责任。</w:t>
      </w:r>
    </w:p>
    <w:p w14:paraId="020B1571" w14:textId="77777777" w:rsidR="00B26894" w:rsidRDefault="00B26894" w:rsidP="00B26894">
      <w:pPr>
        <w:pStyle w:val="p5"/>
        <w:spacing w:before="0" w:beforeAutospacing="0" w:after="150" w:afterAutospacing="0"/>
        <w:rPr>
          <w:rFonts w:ascii="Arial" w:hAnsi="Arial" w:cs="Arial"/>
          <w:color w:val="111111"/>
          <w:lang w:val="en"/>
        </w:rPr>
      </w:pPr>
      <w:r>
        <w:rPr>
          <w:rStyle w:val="s11"/>
          <w:rFonts w:ascii="Arial" w:hAnsi="Arial" w:cs="Arial"/>
          <w:color w:val="111111"/>
          <w:lang w:val="en"/>
        </w:rPr>
        <w:t>第十二章</w:t>
      </w:r>
      <w:r>
        <w:rPr>
          <w:rStyle w:val="s11"/>
          <w:rFonts w:ascii="Arial" w:hAnsi="Arial" w:cs="Arial"/>
          <w:color w:val="111111"/>
          <w:lang w:val="en"/>
        </w:rPr>
        <w:t xml:space="preserve"> </w:t>
      </w:r>
      <w:r>
        <w:rPr>
          <w:rStyle w:val="s11"/>
          <w:rFonts w:ascii="Arial" w:hAnsi="Arial" w:cs="Arial"/>
          <w:color w:val="111111"/>
          <w:lang w:val="en"/>
        </w:rPr>
        <w:t>附则</w:t>
      </w:r>
    </w:p>
    <w:p w14:paraId="7E423403"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lastRenderedPageBreak/>
        <w:t>第四十九条</w:t>
      </w:r>
      <w:r>
        <w:rPr>
          <w:rFonts w:ascii="Arial" w:hAnsi="Arial" w:cs="Arial"/>
          <w:color w:val="111111"/>
          <w:lang w:val="en"/>
        </w:rPr>
        <w:t xml:space="preserve"> </w:t>
      </w:r>
      <w:r>
        <w:rPr>
          <w:rFonts w:ascii="Arial" w:hAnsi="Arial" w:cs="Arial"/>
          <w:color w:val="111111"/>
          <w:lang w:val="en"/>
        </w:rPr>
        <w:t>集体资产交易后发生产权纠纷的，当事人应向镇农村集体资产管理机构或者地方相关行政管理部门申请调解；经调解无法解决的，依据合同约定申请仲裁或依法向人民法院提起诉讼。</w:t>
      </w:r>
    </w:p>
    <w:p w14:paraId="4CD25E7D" w14:textId="77777777" w:rsidR="00B26894" w:rsidRDefault="00B26894" w:rsidP="00B26894">
      <w:pPr>
        <w:pStyle w:val="p2"/>
        <w:spacing w:before="0" w:beforeAutospacing="0" w:after="150" w:afterAutospacing="0"/>
        <w:rPr>
          <w:rFonts w:ascii="Arial" w:hAnsi="Arial" w:cs="Arial"/>
          <w:color w:val="111111"/>
          <w:lang w:val="en"/>
        </w:rPr>
      </w:pPr>
      <w:r>
        <w:rPr>
          <w:rFonts w:ascii="Arial" w:hAnsi="Arial" w:cs="Arial"/>
          <w:color w:val="111111"/>
          <w:lang w:val="en"/>
        </w:rPr>
        <w:t>第五十条</w:t>
      </w:r>
      <w:r>
        <w:rPr>
          <w:rFonts w:ascii="Arial" w:hAnsi="Arial" w:cs="Arial"/>
          <w:color w:val="111111"/>
          <w:lang w:val="en"/>
        </w:rPr>
        <w:t xml:space="preserve"> </w:t>
      </w:r>
      <w:r>
        <w:rPr>
          <w:rFonts w:ascii="Arial" w:hAnsi="Arial" w:cs="Arial"/>
          <w:color w:val="111111"/>
          <w:lang w:val="en"/>
        </w:rPr>
        <w:t>本办法由沙田镇虎门港农林水务局负责解释，自印发之日起施行，</w:t>
      </w:r>
      <w:r>
        <w:rPr>
          <w:rFonts w:ascii="Arial" w:hAnsi="Arial" w:cs="Arial"/>
          <w:color w:val="111111"/>
          <w:lang w:val="en"/>
        </w:rPr>
        <w:t>2013</w:t>
      </w:r>
      <w:r>
        <w:rPr>
          <w:rFonts w:ascii="Arial" w:hAnsi="Arial" w:cs="Arial"/>
          <w:color w:val="111111"/>
          <w:lang w:val="en"/>
        </w:rPr>
        <w:t>年</w:t>
      </w:r>
      <w:r>
        <w:rPr>
          <w:rFonts w:ascii="Arial" w:hAnsi="Arial" w:cs="Arial"/>
          <w:color w:val="111111"/>
          <w:lang w:val="en"/>
        </w:rPr>
        <w:t>2</w:t>
      </w:r>
      <w:r>
        <w:rPr>
          <w:rFonts w:ascii="Arial" w:hAnsi="Arial" w:cs="Arial"/>
          <w:color w:val="111111"/>
          <w:lang w:val="en"/>
        </w:rPr>
        <w:t>月</w:t>
      </w:r>
      <w:r>
        <w:rPr>
          <w:rFonts w:ascii="Arial" w:hAnsi="Arial" w:cs="Arial"/>
          <w:color w:val="111111"/>
          <w:lang w:val="en"/>
        </w:rPr>
        <w:t>1</w:t>
      </w:r>
      <w:r>
        <w:rPr>
          <w:rFonts w:ascii="Arial" w:hAnsi="Arial" w:cs="Arial"/>
          <w:color w:val="111111"/>
          <w:lang w:val="en"/>
        </w:rPr>
        <w:t>发布的《沙田镇农村（社区）集体资产交易办法（试行）》同时废止。</w:t>
      </w:r>
    </w:p>
    <w:p w14:paraId="3D7FB482" w14:textId="77777777" w:rsidR="00B26894" w:rsidRDefault="00B26894" w:rsidP="00B26894">
      <w:pPr>
        <w:pStyle w:val="3"/>
        <w:rPr>
          <w:rFonts w:cs="Arial"/>
          <w:vanish/>
        </w:rPr>
      </w:pPr>
      <w:hyperlink r:id="rId4" w:history="1">
        <w:r>
          <w:rPr>
            <w:rStyle w:val="a3"/>
            <w:rFonts w:cs="Arial"/>
            <w:vanish/>
          </w:rPr>
          <w:t>我的评论与建议</w:t>
        </w:r>
      </w:hyperlink>
    </w:p>
    <w:p w14:paraId="673CA38F" w14:textId="77777777" w:rsidR="00B26894" w:rsidRDefault="00B26894" w:rsidP="00B26894">
      <w:pPr>
        <w:pStyle w:val="3"/>
        <w:rPr>
          <w:rFonts w:cs="Arial"/>
        </w:rPr>
      </w:pPr>
      <w:r>
        <w:rPr>
          <w:rFonts w:cs="Arial"/>
        </w:rPr>
        <w:t>发表评论与建议</w:t>
      </w:r>
    </w:p>
    <w:p w14:paraId="1C5B97F7" w14:textId="77777777" w:rsidR="00B26894" w:rsidRDefault="00B26894" w:rsidP="00B26894">
      <w:pPr>
        <w:pStyle w:val="z-"/>
        <w:rPr>
          <w:rFonts w:hint="eastAsia"/>
        </w:rPr>
      </w:pPr>
      <w:r>
        <w:rPr>
          <w:rFonts w:hint="eastAsia"/>
        </w:rPr>
        <w:t>窗体顶端</w:t>
      </w:r>
    </w:p>
    <w:p w14:paraId="00E1B19B" w14:textId="6F503ADE" w:rsidR="00B26894" w:rsidRDefault="00B26894" w:rsidP="00B26894">
      <w:pPr>
        <w:rPr>
          <w:rFonts w:ascii="Arial" w:hAnsi="Arial" w:cs="Arial"/>
          <w:color w:val="111111"/>
          <w:sz w:val="21"/>
          <w:szCs w:val="21"/>
        </w:rPr>
      </w:pPr>
      <w:r>
        <w:rPr>
          <w:rFonts w:ascii="Arial" w:hAnsi="Arial" w:cs="Arial"/>
          <w:color w:val="111111"/>
          <w:sz w:val="21"/>
          <w:szCs w:val="21"/>
        </w:rPr>
        <w:object w:dxaOrig="1440" w:dyaOrig="1440" w14:anchorId="40A02E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2.4pt;height:18pt" o:ole="">
            <v:imagedata r:id="rId5" o:title=""/>
          </v:shape>
          <w:control r:id="rId6" w:name="DefaultOcxName" w:shapeid="_x0000_i1037"/>
        </w:object>
      </w:r>
      <w:r>
        <w:rPr>
          <w:rFonts w:ascii="Arial" w:hAnsi="Arial" w:cs="Arial"/>
          <w:color w:val="111111"/>
          <w:sz w:val="21"/>
          <w:szCs w:val="21"/>
        </w:rPr>
        <w:object w:dxaOrig="1440" w:dyaOrig="1440" w14:anchorId="5C297116">
          <v:shape id="_x0000_i1036" type="#_x0000_t75" style="width:62.4pt;height:18pt" o:ole="">
            <v:imagedata r:id="rId7" o:title=""/>
          </v:shape>
          <w:control r:id="rId8" w:name="DefaultOcxName1" w:shapeid="_x0000_i1036"/>
        </w:object>
      </w:r>
      <w:r>
        <w:rPr>
          <w:rFonts w:ascii="Arial" w:hAnsi="Arial" w:cs="Arial"/>
          <w:color w:val="111111"/>
          <w:sz w:val="21"/>
          <w:szCs w:val="21"/>
        </w:rPr>
        <w:object w:dxaOrig="1440" w:dyaOrig="1440" w14:anchorId="3CE44557">
          <v:shape id="_x0000_i1035" type="#_x0000_t75" style="width:150.6pt;height:54.6pt" o:ole="">
            <v:imagedata r:id="rId9" o:title=""/>
          </v:shape>
          <w:control r:id="rId10" w:name="DefaultOcxName2" w:shapeid="_x0000_i1035"/>
        </w:object>
      </w:r>
      <w:r>
        <w:rPr>
          <w:rFonts w:ascii="Arial" w:hAnsi="Arial" w:cs="Arial"/>
          <w:color w:val="111111"/>
          <w:sz w:val="21"/>
          <w:szCs w:val="21"/>
        </w:rPr>
        <w:t>发</w:t>
      </w:r>
      <w:r>
        <w:rPr>
          <w:rFonts w:ascii="Arial" w:hAnsi="Arial" w:cs="Arial"/>
          <w:color w:val="111111"/>
          <w:sz w:val="21"/>
          <w:szCs w:val="21"/>
        </w:rPr>
        <w:t xml:space="preserve"> </w:t>
      </w:r>
      <w:r>
        <w:rPr>
          <w:rFonts w:ascii="Arial" w:hAnsi="Arial" w:cs="Arial"/>
          <w:color w:val="111111"/>
          <w:sz w:val="21"/>
          <w:szCs w:val="21"/>
        </w:rPr>
        <w:t>表</w:t>
      </w:r>
      <w:r>
        <w:rPr>
          <w:rFonts w:ascii="Arial" w:hAnsi="Arial" w:cs="Arial"/>
          <w:color w:val="111111"/>
          <w:sz w:val="21"/>
          <w:szCs w:val="21"/>
        </w:rPr>
        <w:t xml:space="preserve"> </w:t>
      </w:r>
    </w:p>
    <w:p w14:paraId="6D6736BC" w14:textId="77777777" w:rsidR="00B26894" w:rsidRDefault="00B26894" w:rsidP="00B26894">
      <w:pPr>
        <w:pStyle w:val="z-1"/>
        <w:rPr>
          <w:rFonts w:hint="eastAsia"/>
        </w:rPr>
      </w:pPr>
      <w:r>
        <w:rPr>
          <w:rFonts w:hint="eastAsia"/>
        </w:rPr>
        <w:t>窗体底端</w:t>
      </w:r>
    </w:p>
    <w:p w14:paraId="2BABC9AD" w14:textId="77777777" w:rsidR="00B26894" w:rsidRDefault="00B26894" w:rsidP="00B26894">
      <w:pPr>
        <w:spacing w:after="240"/>
        <w:rPr>
          <w:rFonts w:ascii="Arial" w:hAnsi="Arial" w:cs="Arial"/>
          <w:color w:val="111111"/>
          <w:sz w:val="21"/>
          <w:szCs w:val="21"/>
        </w:rPr>
      </w:pPr>
    </w:p>
    <w:p w14:paraId="7864CF21" w14:textId="77777777" w:rsidR="00B26894" w:rsidRDefault="00B26894" w:rsidP="00B26894">
      <w:pPr>
        <w:pStyle w:val="4"/>
        <w:jc w:val="center"/>
        <w:rPr>
          <w:rFonts w:cs="Arial"/>
        </w:rPr>
      </w:pPr>
      <w:r>
        <w:rPr>
          <w:rFonts w:cs="Arial"/>
        </w:rPr>
        <w:t>基本信息</w:t>
      </w:r>
    </w:p>
    <w:tbl>
      <w:tblPr>
        <w:tblW w:w="5000" w:type="pct"/>
        <w:tblCellMar>
          <w:top w:w="15" w:type="dxa"/>
          <w:left w:w="15" w:type="dxa"/>
          <w:bottom w:w="15" w:type="dxa"/>
          <w:right w:w="15" w:type="dxa"/>
        </w:tblCellMar>
        <w:tblLook w:val="04A0" w:firstRow="1" w:lastRow="0" w:firstColumn="1" w:lastColumn="0" w:noHBand="0" w:noVBand="1"/>
      </w:tblPr>
      <w:tblGrid>
        <w:gridCol w:w="2807"/>
        <w:gridCol w:w="5499"/>
      </w:tblGrid>
      <w:tr w:rsidR="00B26894" w14:paraId="290D1F5E" w14:textId="77777777" w:rsidTr="0043193C">
        <w:tc>
          <w:tcPr>
            <w:tcW w:w="0" w:type="auto"/>
            <w:shd w:val="clear" w:color="auto" w:fill="auto"/>
            <w:tcMar>
              <w:top w:w="30" w:type="dxa"/>
              <w:left w:w="150" w:type="dxa"/>
              <w:bottom w:w="30" w:type="dxa"/>
              <w:right w:w="0" w:type="dxa"/>
            </w:tcMar>
            <w:vAlign w:val="center"/>
            <w:hideMark/>
          </w:tcPr>
          <w:p w14:paraId="4E6B2AA9" w14:textId="77777777" w:rsidR="00B26894" w:rsidRDefault="00B26894" w:rsidP="0043193C">
            <w:pPr>
              <w:rPr>
                <w:rFonts w:ascii="Arial" w:hAnsi="Arial" w:cs="Arial"/>
                <w:color w:val="111111"/>
                <w:sz w:val="21"/>
                <w:szCs w:val="21"/>
              </w:rPr>
            </w:pPr>
            <w:r>
              <w:rPr>
                <w:rFonts w:ascii="Arial" w:hAnsi="Arial" w:cs="Arial"/>
                <w:color w:val="111111"/>
                <w:sz w:val="21"/>
                <w:szCs w:val="21"/>
              </w:rPr>
              <w:t>发文部门</w:t>
            </w:r>
            <w:r>
              <w:rPr>
                <w:rFonts w:ascii="Arial" w:hAnsi="Arial" w:cs="Arial"/>
                <w:color w:val="111111"/>
                <w:sz w:val="21"/>
                <w:szCs w:val="21"/>
              </w:rPr>
              <w:t>:</w:t>
            </w:r>
          </w:p>
        </w:tc>
        <w:tc>
          <w:tcPr>
            <w:tcW w:w="0" w:type="auto"/>
            <w:shd w:val="clear" w:color="auto" w:fill="auto"/>
            <w:tcMar>
              <w:top w:w="30" w:type="dxa"/>
              <w:left w:w="0" w:type="dxa"/>
              <w:bottom w:w="30" w:type="dxa"/>
              <w:right w:w="0" w:type="dxa"/>
            </w:tcMar>
            <w:vAlign w:val="center"/>
            <w:hideMark/>
          </w:tcPr>
          <w:p w14:paraId="00507109" w14:textId="77777777" w:rsidR="00B26894" w:rsidRDefault="00B26894" w:rsidP="0043193C">
            <w:pPr>
              <w:rPr>
                <w:rFonts w:ascii="Arial" w:hAnsi="Arial" w:cs="Arial"/>
                <w:color w:val="111111"/>
                <w:sz w:val="21"/>
                <w:szCs w:val="21"/>
              </w:rPr>
            </w:pPr>
            <w:r>
              <w:rPr>
                <w:rFonts w:ascii="Arial" w:hAnsi="Arial" w:cs="Arial"/>
                <w:color w:val="111111"/>
                <w:sz w:val="21"/>
                <w:szCs w:val="21"/>
              </w:rPr>
              <w:t>沙田镇人民政府办公室</w:t>
            </w:r>
          </w:p>
        </w:tc>
      </w:tr>
      <w:tr w:rsidR="00B26894" w14:paraId="057C5AB6" w14:textId="77777777" w:rsidTr="0043193C">
        <w:tc>
          <w:tcPr>
            <w:tcW w:w="0" w:type="auto"/>
            <w:shd w:val="clear" w:color="auto" w:fill="auto"/>
            <w:tcMar>
              <w:top w:w="30" w:type="dxa"/>
              <w:left w:w="150" w:type="dxa"/>
              <w:bottom w:w="30" w:type="dxa"/>
              <w:right w:w="0" w:type="dxa"/>
            </w:tcMar>
            <w:vAlign w:val="center"/>
            <w:hideMark/>
          </w:tcPr>
          <w:p w14:paraId="77791C5C" w14:textId="77777777" w:rsidR="00B26894" w:rsidRDefault="00B26894" w:rsidP="0043193C">
            <w:pPr>
              <w:rPr>
                <w:rFonts w:ascii="Arial" w:hAnsi="Arial" w:cs="Arial"/>
                <w:color w:val="111111"/>
                <w:sz w:val="21"/>
                <w:szCs w:val="21"/>
              </w:rPr>
            </w:pPr>
            <w:r>
              <w:rPr>
                <w:rFonts w:ascii="Arial" w:hAnsi="Arial" w:cs="Arial"/>
                <w:color w:val="111111"/>
                <w:sz w:val="21"/>
                <w:szCs w:val="21"/>
              </w:rPr>
              <w:t>发布日期</w:t>
            </w:r>
            <w:r>
              <w:rPr>
                <w:rFonts w:ascii="Arial" w:hAnsi="Arial" w:cs="Arial"/>
                <w:color w:val="111111"/>
                <w:sz w:val="21"/>
                <w:szCs w:val="21"/>
              </w:rPr>
              <w:t>:</w:t>
            </w:r>
          </w:p>
        </w:tc>
        <w:tc>
          <w:tcPr>
            <w:tcW w:w="0" w:type="auto"/>
            <w:shd w:val="clear" w:color="auto" w:fill="auto"/>
            <w:tcMar>
              <w:top w:w="30" w:type="dxa"/>
              <w:left w:w="0" w:type="dxa"/>
              <w:bottom w:w="30" w:type="dxa"/>
              <w:right w:w="0" w:type="dxa"/>
            </w:tcMar>
            <w:vAlign w:val="center"/>
            <w:hideMark/>
          </w:tcPr>
          <w:p w14:paraId="7C41DB05" w14:textId="77777777" w:rsidR="00B26894" w:rsidRDefault="00B26894" w:rsidP="0043193C">
            <w:pPr>
              <w:rPr>
                <w:rFonts w:ascii="Arial" w:hAnsi="Arial" w:cs="Arial"/>
                <w:color w:val="111111"/>
                <w:sz w:val="21"/>
                <w:szCs w:val="21"/>
              </w:rPr>
            </w:pPr>
            <w:r>
              <w:rPr>
                <w:rFonts w:ascii="Arial" w:hAnsi="Arial" w:cs="Arial"/>
                <w:color w:val="111111"/>
                <w:sz w:val="21"/>
                <w:szCs w:val="21"/>
              </w:rPr>
              <w:t>2015-08-05 00:00:00</w:t>
            </w:r>
          </w:p>
        </w:tc>
      </w:tr>
      <w:tr w:rsidR="00B26894" w14:paraId="5D3CF838" w14:textId="77777777" w:rsidTr="0043193C">
        <w:tc>
          <w:tcPr>
            <w:tcW w:w="0" w:type="auto"/>
            <w:shd w:val="clear" w:color="auto" w:fill="auto"/>
            <w:tcMar>
              <w:top w:w="30" w:type="dxa"/>
              <w:left w:w="150" w:type="dxa"/>
              <w:bottom w:w="30" w:type="dxa"/>
              <w:right w:w="0" w:type="dxa"/>
            </w:tcMar>
            <w:vAlign w:val="center"/>
            <w:hideMark/>
          </w:tcPr>
          <w:p w14:paraId="0EB0B064" w14:textId="77777777" w:rsidR="00B26894" w:rsidRDefault="00B26894" w:rsidP="0043193C">
            <w:pPr>
              <w:rPr>
                <w:rFonts w:ascii="Arial" w:hAnsi="Arial" w:cs="Arial"/>
                <w:color w:val="111111"/>
                <w:sz w:val="21"/>
                <w:szCs w:val="21"/>
              </w:rPr>
            </w:pPr>
            <w:r>
              <w:rPr>
                <w:rFonts w:ascii="Arial" w:hAnsi="Arial" w:cs="Arial"/>
                <w:color w:val="111111"/>
                <w:sz w:val="21"/>
                <w:szCs w:val="21"/>
              </w:rPr>
              <w:t>实施日期</w:t>
            </w:r>
            <w:r>
              <w:rPr>
                <w:rFonts w:ascii="Arial" w:hAnsi="Arial" w:cs="Arial"/>
                <w:color w:val="111111"/>
                <w:sz w:val="21"/>
                <w:szCs w:val="21"/>
              </w:rPr>
              <w:t>:</w:t>
            </w:r>
          </w:p>
        </w:tc>
        <w:tc>
          <w:tcPr>
            <w:tcW w:w="0" w:type="auto"/>
            <w:shd w:val="clear" w:color="auto" w:fill="auto"/>
            <w:tcMar>
              <w:top w:w="30" w:type="dxa"/>
              <w:left w:w="0" w:type="dxa"/>
              <w:bottom w:w="30" w:type="dxa"/>
              <w:right w:w="0" w:type="dxa"/>
            </w:tcMar>
            <w:vAlign w:val="center"/>
            <w:hideMark/>
          </w:tcPr>
          <w:p w14:paraId="2B6BAF9E" w14:textId="77777777" w:rsidR="00B26894" w:rsidRDefault="00B26894" w:rsidP="0043193C">
            <w:pPr>
              <w:rPr>
                <w:rFonts w:ascii="Arial" w:hAnsi="Arial" w:cs="Arial"/>
                <w:color w:val="111111"/>
                <w:sz w:val="21"/>
                <w:szCs w:val="21"/>
              </w:rPr>
            </w:pPr>
            <w:r>
              <w:rPr>
                <w:rFonts w:ascii="Arial" w:hAnsi="Arial" w:cs="Arial"/>
                <w:color w:val="111111"/>
                <w:sz w:val="21"/>
                <w:szCs w:val="21"/>
              </w:rPr>
              <w:t>2015-08-05 00:00:00</w:t>
            </w:r>
          </w:p>
        </w:tc>
      </w:tr>
      <w:tr w:rsidR="00B26894" w14:paraId="07CF2ABD" w14:textId="77777777" w:rsidTr="0043193C">
        <w:tc>
          <w:tcPr>
            <w:tcW w:w="0" w:type="auto"/>
            <w:shd w:val="clear" w:color="auto" w:fill="auto"/>
            <w:tcMar>
              <w:top w:w="30" w:type="dxa"/>
              <w:left w:w="150" w:type="dxa"/>
              <w:bottom w:w="30" w:type="dxa"/>
              <w:right w:w="0" w:type="dxa"/>
            </w:tcMar>
            <w:vAlign w:val="center"/>
            <w:hideMark/>
          </w:tcPr>
          <w:p w14:paraId="070B628D" w14:textId="77777777" w:rsidR="00B26894" w:rsidRDefault="00B26894" w:rsidP="0043193C">
            <w:pPr>
              <w:rPr>
                <w:rFonts w:ascii="Arial" w:hAnsi="Arial" w:cs="Arial"/>
                <w:color w:val="111111"/>
                <w:sz w:val="21"/>
                <w:szCs w:val="21"/>
              </w:rPr>
            </w:pPr>
            <w:r>
              <w:rPr>
                <w:rFonts w:ascii="Arial" w:hAnsi="Arial" w:cs="Arial"/>
                <w:color w:val="111111"/>
                <w:sz w:val="21"/>
                <w:szCs w:val="21"/>
              </w:rPr>
              <w:t>时</w:t>
            </w:r>
            <w:r>
              <w:rPr>
                <w:rFonts w:ascii="Arial" w:hAnsi="Arial" w:cs="Arial"/>
                <w:color w:val="111111"/>
                <w:sz w:val="21"/>
                <w:szCs w:val="21"/>
              </w:rPr>
              <w:t>  </w:t>
            </w:r>
            <w:r>
              <w:rPr>
                <w:rFonts w:ascii="Arial" w:hAnsi="Arial" w:cs="Arial"/>
                <w:color w:val="111111"/>
                <w:sz w:val="21"/>
                <w:szCs w:val="21"/>
              </w:rPr>
              <w:t>效</w:t>
            </w:r>
            <w:r>
              <w:rPr>
                <w:rFonts w:ascii="Arial" w:hAnsi="Arial" w:cs="Arial"/>
                <w:color w:val="111111"/>
                <w:sz w:val="21"/>
                <w:szCs w:val="21"/>
              </w:rPr>
              <w:t>  </w:t>
            </w:r>
            <w:r>
              <w:rPr>
                <w:rFonts w:ascii="Arial" w:hAnsi="Arial" w:cs="Arial"/>
                <w:color w:val="111111"/>
                <w:sz w:val="21"/>
                <w:szCs w:val="21"/>
              </w:rPr>
              <w:t>性</w:t>
            </w:r>
            <w:r>
              <w:rPr>
                <w:rFonts w:ascii="Arial" w:hAnsi="Arial" w:cs="Arial"/>
                <w:color w:val="111111"/>
                <w:sz w:val="21"/>
                <w:szCs w:val="21"/>
              </w:rPr>
              <w:t>:</w:t>
            </w:r>
          </w:p>
        </w:tc>
        <w:tc>
          <w:tcPr>
            <w:tcW w:w="0" w:type="auto"/>
            <w:shd w:val="clear" w:color="auto" w:fill="auto"/>
            <w:tcMar>
              <w:top w:w="30" w:type="dxa"/>
              <w:left w:w="0" w:type="dxa"/>
              <w:bottom w:w="30" w:type="dxa"/>
              <w:right w:w="0" w:type="dxa"/>
            </w:tcMar>
            <w:vAlign w:val="center"/>
            <w:hideMark/>
          </w:tcPr>
          <w:p w14:paraId="5AD06568" w14:textId="77777777" w:rsidR="00B26894" w:rsidRDefault="00B26894" w:rsidP="0043193C">
            <w:pPr>
              <w:rPr>
                <w:rFonts w:ascii="Arial" w:hAnsi="Arial" w:cs="Arial"/>
                <w:color w:val="111111"/>
                <w:sz w:val="21"/>
                <w:szCs w:val="21"/>
              </w:rPr>
            </w:pPr>
            <w:r>
              <w:rPr>
                <w:rFonts w:ascii="Arial" w:hAnsi="Arial" w:cs="Arial"/>
                <w:color w:val="111111"/>
                <w:sz w:val="21"/>
                <w:szCs w:val="21"/>
              </w:rPr>
              <w:t>现行有效</w:t>
            </w:r>
          </w:p>
        </w:tc>
      </w:tr>
      <w:tr w:rsidR="00B26894" w14:paraId="63006214" w14:textId="77777777" w:rsidTr="0043193C">
        <w:tc>
          <w:tcPr>
            <w:tcW w:w="0" w:type="auto"/>
            <w:shd w:val="clear" w:color="auto" w:fill="auto"/>
            <w:tcMar>
              <w:top w:w="30" w:type="dxa"/>
              <w:left w:w="150" w:type="dxa"/>
              <w:bottom w:w="30" w:type="dxa"/>
              <w:right w:w="0" w:type="dxa"/>
            </w:tcMar>
            <w:vAlign w:val="center"/>
            <w:hideMark/>
          </w:tcPr>
          <w:p w14:paraId="31A753FA" w14:textId="77777777" w:rsidR="00B26894" w:rsidRDefault="00B26894" w:rsidP="0043193C">
            <w:pPr>
              <w:rPr>
                <w:rFonts w:ascii="Arial" w:hAnsi="Arial" w:cs="Arial"/>
                <w:color w:val="111111"/>
                <w:sz w:val="21"/>
                <w:szCs w:val="21"/>
              </w:rPr>
            </w:pPr>
            <w:r>
              <w:rPr>
                <w:rFonts w:ascii="Arial" w:hAnsi="Arial" w:cs="Arial"/>
                <w:color w:val="111111"/>
                <w:sz w:val="21"/>
                <w:szCs w:val="21"/>
              </w:rPr>
              <w:t>效力层级</w:t>
            </w:r>
            <w:r>
              <w:rPr>
                <w:rFonts w:ascii="Arial" w:hAnsi="Arial" w:cs="Arial"/>
                <w:color w:val="111111"/>
                <w:sz w:val="21"/>
                <w:szCs w:val="21"/>
              </w:rPr>
              <w:t>:</w:t>
            </w:r>
          </w:p>
        </w:tc>
        <w:tc>
          <w:tcPr>
            <w:tcW w:w="0" w:type="auto"/>
            <w:shd w:val="clear" w:color="auto" w:fill="auto"/>
            <w:tcMar>
              <w:top w:w="30" w:type="dxa"/>
              <w:left w:w="0" w:type="dxa"/>
              <w:bottom w:w="30" w:type="dxa"/>
              <w:right w:w="0" w:type="dxa"/>
            </w:tcMar>
            <w:vAlign w:val="center"/>
            <w:hideMark/>
          </w:tcPr>
          <w:p w14:paraId="7B4D63F3" w14:textId="77777777" w:rsidR="00B26894" w:rsidRDefault="00B26894" w:rsidP="0043193C">
            <w:pPr>
              <w:rPr>
                <w:rFonts w:ascii="Arial" w:hAnsi="Arial" w:cs="Arial"/>
                <w:color w:val="111111"/>
                <w:sz w:val="21"/>
                <w:szCs w:val="21"/>
              </w:rPr>
            </w:pPr>
            <w:r>
              <w:rPr>
                <w:rFonts w:ascii="Arial" w:hAnsi="Arial" w:cs="Arial"/>
                <w:color w:val="111111"/>
                <w:sz w:val="21"/>
                <w:szCs w:val="21"/>
              </w:rPr>
              <w:t>行政规范性文件</w:t>
            </w:r>
          </w:p>
        </w:tc>
      </w:tr>
    </w:tbl>
    <w:p w14:paraId="20BF7C66" w14:textId="77777777" w:rsidR="00B26894" w:rsidRDefault="00B26894" w:rsidP="00B26894">
      <w:pPr>
        <w:pStyle w:val="4"/>
        <w:jc w:val="center"/>
        <w:rPr>
          <w:rFonts w:cs="Arial"/>
          <w:vanish/>
        </w:rPr>
      </w:pPr>
      <w:r>
        <w:rPr>
          <w:rFonts w:cs="Arial"/>
          <w:vanish/>
        </w:rPr>
        <w:t>相关文档</w:t>
      </w:r>
    </w:p>
    <w:p w14:paraId="6D141471" w14:textId="77777777" w:rsidR="00B26894" w:rsidRDefault="00B26894" w:rsidP="00B26894">
      <w:pPr>
        <w:rPr>
          <w:rFonts w:ascii="Arial" w:hAnsi="Arial" w:cs="Arial"/>
          <w:vanish/>
          <w:color w:val="111111"/>
        </w:rPr>
      </w:pPr>
      <w:r>
        <w:rPr>
          <w:rFonts w:ascii="Arial" w:hAnsi="Arial" w:cs="Arial"/>
          <w:vanish/>
          <w:color w:val="111111"/>
        </w:rPr>
        <w:t>所有相关</w:t>
      </w:r>
      <w:r>
        <w:rPr>
          <w:rFonts w:ascii="Arial" w:hAnsi="Arial" w:cs="Arial"/>
          <w:vanish/>
          <w:color w:val="111111"/>
        </w:rPr>
        <w:t xml:space="preserve"> </w:t>
      </w:r>
      <w:r>
        <w:rPr>
          <w:rFonts w:ascii="Arial" w:hAnsi="Arial" w:cs="Arial"/>
          <w:vanish/>
          <w:color w:val="111111"/>
        </w:rPr>
        <w:t>分类相关</w:t>
      </w:r>
      <w:r>
        <w:rPr>
          <w:rFonts w:ascii="Arial" w:hAnsi="Arial" w:cs="Arial"/>
          <w:vanish/>
          <w:color w:val="111111"/>
        </w:rPr>
        <w:t xml:space="preserve"> </w:t>
      </w:r>
    </w:p>
    <w:p w14:paraId="36612684" w14:textId="77777777" w:rsidR="00B26894" w:rsidRDefault="00B26894" w:rsidP="00B26894">
      <w:pPr>
        <w:jc w:val="right"/>
        <w:rPr>
          <w:rFonts w:ascii="Arial" w:hAnsi="Arial" w:cs="Arial"/>
          <w:vanish/>
          <w:color w:val="111111"/>
          <w:sz w:val="21"/>
          <w:szCs w:val="21"/>
        </w:rPr>
      </w:pPr>
      <w:r>
        <w:rPr>
          <w:rFonts w:ascii="Arial" w:hAnsi="Arial" w:cs="Arial"/>
          <w:vanish/>
          <w:color w:val="111111"/>
          <w:sz w:val="21"/>
          <w:szCs w:val="21"/>
        </w:rPr>
        <w:t>共有文献</w:t>
      </w:r>
      <w:r>
        <w:rPr>
          <w:rFonts w:ascii="Arial" w:hAnsi="Arial" w:cs="Arial"/>
          <w:vanish/>
          <w:color w:val="111111"/>
          <w:sz w:val="21"/>
          <w:szCs w:val="21"/>
        </w:rPr>
        <w:t xml:space="preserve"> </w:t>
      </w:r>
      <w:r>
        <w:rPr>
          <w:rFonts w:ascii="Arial" w:hAnsi="Arial" w:cs="Arial"/>
          <w:vanish/>
          <w:color w:val="FF0000"/>
          <w:sz w:val="21"/>
          <w:szCs w:val="21"/>
        </w:rPr>
        <w:t>302</w:t>
      </w:r>
      <w:r>
        <w:rPr>
          <w:rFonts w:ascii="Arial" w:hAnsi="Arial" w:cs="Arial"/>
          <w:vanish/>
          <w:color w:val="111111"/>
          <w:sz w:val="21"/>
          <w:szCs w:val="21"/>
        </w:rPr>
        <w:t xml:space="preserve"> </w:t>
      </w:r>
      <w:r>
        <w:rPr>
          <w:rFonts w:ascii="Arial" w:hAnsi="Arial" w:cs="Arial"/>
          <w:vanish/>
          <w:color w:val="111111"/>
          <w:sz w:val="21"/>
          <w:szCs w:val="21"/>
        </w:rPr>
        <w:t>篇</w:t>
      </w:r>
    </w:p>
    <w:tbl>
      <w:tblPr>
        <w:tblW w:w="0" w:type="auto"/>
        <w:tblCellMar>
          <w:left w:w="0" w:type="dxa"/>
          <w:right w:w="0" w:type="dxa"/>
        </w:tblCellMar>
        <w:tblLook w:val="04A0" w:firstRow="1" w:lastRow="0" w:firstColumn="1" w:lastColumn="0" w:noHBand="0" w:noVBand="1"/>
      </w:tblPr>
      <w:tblGrid>
        <w:gridCol w:w="21"/>
      </w:tblGrid>
      <w:tr w:rsidR="00B26894" w14:paraId="12BC565F" w14:textId="77777777" w:rsidTr="0043193C">
        <w:trPr>
          <w:hidden/>
        </w:trPr>
        <w:tc>
          <w:tcPr>
            <w:tcW w:w="0" w:type="auto"/>
            <w:shd w:val="clear" w:color="auto" w:fill="auto"/>
            <w:tcMar>
              <w:top w:w="15" w:type="dxa"/>
              <w:left w:w="15" w:type="dxa"/>
              <w:bottom w:w="15" w:type="dxa"/>
              <w:right w:w="0" w:type="dxa"/>
            </w:tcMar>
            <w:vAlign w:val="center"/>
            <w:hideMark/>
          </w:tcPr>
          <w:p w14:paraId="480F6C58" w14:textId="77777777" w:rsidR="00B26894" w:rsidRDefault="00B26894" w:rsidP="0043193C">
            <w:pPr>
              <w:jc w:val="right"/>
              <w:rPr>
                <w:rFonts w:ascii="Arial" w:hAnsi="Arial" w:cs="Arial"/>
                <w:vanish/>
                <w:color w:val="111111"/>
                <w:sz w:val="21"/>
                <w:szCs w:val="21"/>
              </w:rPr>
            </w:pPr>
          </w:p>
        </w:tc>
      </w:tr>
    </w:tbl>
    <w:p w14:paraId="5E4A2B4A" w14:textId="77777777" w:rsidR="00B26894" w:rsidRDefault="00B26894" w:rsidP="00B26894">
      <w:pPr>
        <w:jc w:val="right"/>
        <w:rPr>
          <w:rFonts w:ascii="Arial" w:hAnsi="Arial" w:cs="Arial"/>
          <w:vanish/>
          <w:color w:val="111111"/>
        </w:rPr>
      </w:pPr>
      <w:hyperlink r:id="rId11" w:history="1">
        <w:r>
          <w:rPr>
            <w:rStyle w:val="a3"/>
            <w:rFonts w:ascii="Arial" w:hAnsi="Arial" w:cs="Arial"/>
            <w:vanish/>
          </w:rPr>
          <w:t>查看更多</w:t>
        </w:r>
      </w:hyperlink>
      <w:r>
        <w:rPr>
          <w:rFonts w:ascii="Arial" w:hAnsi="Arial" w:cs="Arial"/>
          <w:vanish/>
          <w:color w:val="111111"/>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8306"/>
      </w:tblGrid>
      <w:tr w:rsidR="00B26894" w14:paraId="60E28D74" w14:textId="77777777" w:rsidTr="0043193C">
        <w:trPr>
          <w:hidden/>
        </w:trPr>
        <w:tc>
          <w:tcPr>
            <w:tcW w:w="0" w:type="auto"/>
            <w:shd w:val="clear" w:color="auto" w:fill="auto"/>
            <w:tcMar>
              <w:top w:w="30" w:type="dxa"/>
              <w:left w:w="150" w:type="dxa"/>
              <w:bottom w:w="30" w:type="dxa"/>
              <w:right w:w="150" w:type="dxa"/>
            </w:tcMar>
            <w:vAlign w:val="center"/>
            <w:hideMark/>
          </w:tcPr>
          <w:p w14:paraId="5E6B993C" w14:textId="77777777" w:rsidR="00B26894" w:rsidRDefault="00B26894" w:rsidP="0043193C">
            <w:pPr>
              <w:rPr>
                <w:rFonts w:ascii="Arial" w:hAnsi="Arial" w:cs="Arial"/>
                <w:vanish/>
                <w:color w:val="111111"/>
                <w:sz w:val="21"/>
                <w:szCs w:val="21"/>
              </w:rPr>
            </w:pPr>
            <w:hyperlink r:id="rId12" w:history="1">
              <w:r>
                <w:rPr>
                  <w:rStyle w:val="a3"/>
                  <w:rFonts w:ascii="Arial" w:hAnsi="Arial" w:cs="Arial"/>
                  <w:vanish/>
                  <w:color w:val="800000"/>
                  <w:sz w:val="21"/>
                  <w:szCs w:val="21"/>
                </w:rPr>
                <w:t>集体经济组织类</w:t>
              </w:r>
              <w:r>
                <w:rPr>
                  <w:rStyle w:val="a3"/>
                  <w:rFonts w:ascii="Arial" w:hAnsi="Arial" w:cs="Arial"/>
                  <w:vanish/>
                  <w:color w:val="800000"/>
                  <w:sz w:val="21"/>
                  <w:szCs w:val="21"/>
                </w:rPr>
                <w:t>   206</w:t>
              </w:r>
              <w:r>
                <w:rPr>
                  <w:rStyle w:val="a3"/>
                  <w:rFonts w:ascii="Arial" w:hAnsi="Arial" w:cs="Arial"/>
                  <w:vanish/>
                  <w:color w:val="800000"/>
                  <w:sz w:val="21"/>
                  <w:szCs w:val="21"/>
                </w:rPr>
                <w:t>篇</w:t>
              </w:r>
            </w:hyperlink>
          </w:p>
        </w:tc>
      </w:tr>
    </w:tbl>
    <w:p w14:paraId="6E59823D" w14:textId="77777777" w:rsidR="00B26894" w:rsidRDefault="00B26894" w:rsidP="00B26894">
      <w:pPr>
        <w:rPr>
          <w:rFonts w:ascii="Arial" w:hAnsi="Arial" w:cs="Arial"/>
          <w:vanish/>
          <w:color w:val="111111"/>
          <w:sz w:val="21"/>
          <w:szCs w:val="21"/>
        </w:rPr>
      </w:pPr>
      <w:r>
        <w:rPr>
          <w:rFonts w:ascii="Arial" w:hAnsi="Arial" w:cs="Arial"/>
          <w:vanish/>
          <w:color w:val="111111"/>
          <w:sz w:val="21"/>
          <w:szCs w:val="21"/>
        </w:rPr>
        <w:t xml:space="preserve">× </w:t>
      </w:r>
    </w:p>
    <w:p w14:paraId="7AE65BF6" w14:textId="77777777" w:rsidR="00B26894" w:rsidRDefault="00B26894" w:rsidP="00B26894">
      <w:pPr>
        <w:rPr>
          <w:rFonts w:ascii="Arial" w:hAnsi="Arial" w:cs="Arial"/>
          <w:vanish/>
          <w:color w:val="111111"/>
          <w:sz w:val="21"/>
          <w:szCs w:val="21"/>
        </w:rPr>
      </w:pPr>
      <w:r>
        <w:rPr>
          <w:rFonts w:ascii="Arial" w:hAnsi="Arial" w:cs="Arial"/>
          <w:noProof/>
          <w:vanish/>
          <w:color w:val="111111"/>
          <w:sz w:val="21"/>
          <w:szCs w:val="21"/>
        </w:rPr>
        <w:drawing>
          <wp:inline distT="0" distB="0" distL="0" distR="0" wp14:anchorId="5DCBFEC3" wp14:editId="75F971C7">
            <wp:extent cx="406349" cy="406349"/>
            <wp:effectExtent l="0" t="0" r="0" b="0"/>
            <wp:docPr id="5" name="图片 5"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406349" cy="406349"/>
                    </a:xfrm>
                    <a:prstGeom prst="rect">
                      <a:avLst/>
                    </a:prstGeom>
                    <a:noFill/>
                    <a:ln>
                      <a:noFill/>
                    </a:ln>
                  </pic:spPr>
                </pic:pic>
              </a:graphicData>
            </a:graphic>
          </wp:inline>
        </w:drawing>
      </w:r>
    </w:p>
    <w:p w14:paraId="7262EBAB" w14:textId="77777777" w:rsidR="00B26894" w:rsidRDefault="00B26894" w:rsidP="00B26894">
      <w:pPr>
        <w:shd w:val="clear" w:color="auto" w:fill="F5F5F5"/>
        <w:jc w:val="right"/>
        <w:rPr>
          <w:rFonts w:ascii="Arial" w:hAnsi="Arial" w:cs="Arial"/>
          <w:vanish/>
          <w:color w:val="111111"/>
          <w:sz w:val="21"/>
          <w:szCs w:val="21"/>
        </w:rPr>
      </w:pPr>
      <w:hyperlink w:history="1">
        <w:r>
          <w:rPr>
            <w:rStyle w:val="a3"/>
            <w:rFonts w:ascii="Arial" w:hAnsi="Arial" w:cs="Arial"/>
            <w:vanish/>
            <w:sz w:val="21"/>
            <w:szCs w:val="21"/>
          </w:rPr>
          <w:t>关闭</w:t>
        </w:r>
      </w:hyperlink>
      <w:r>
        <w:rPr>
          <w:rFonts w:ascii="Arial" w:hAnsi="Arial" w:cs="Arial"/>
          <w:vanish/>
          <w:color w:val="111111"/>
          <w:sz w:val="21"/>
          <w:szCs w:val="21"/>
        </w:rPr>
        <w:t xml:space="preserve"> </w:t>
      </w:r>
    </w:p>
    <w:p w14:paraId="57F7F056" w14:textId="77777777" w:rsidR="00B26894" w:rsidRDefault="00B26894" w:rsidP="00B26894">
      <w:r>
        <w:rPr>
          <w:rFonts w:ascii="Arial" w:hAnsi="Arial" w:cs="Arial"/>
          <w:vanish/>
          <w:color w:val="111111"/>
          <w:sz w:val="21"/>
          <w:szCs w:val="21"/>
        </w:rPr>
        <w:pict w14:anchorId="1C44E71C"/>
      </w:r>
      <w:r>
        <w:rPr>
          <w:rFonts w:ascii="Arial" w:hAnsi="Arial" w:cs="Arial"/>
          <w:vanish/>
          <w:color w:val="111111"/>
          <w:sz w:val="21"/>
          <w:szCs w:val="21"/>
        </w:rPr>
        <w:pict w14:anchorId="1A62E21C"/>
      </w:r>
    </w:p>
    <w:p w14:paraId="291D9D71" w14:textId="77777777" w:rsidR="00E72C7D" w:rsidRDefault="00E72C7D"/>
    <w:sectPr w:rsidR="00E72C7D">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94"/>
    <w:rsid w:val="003F19B3"/>
    <w:rsid w:val="00B26894"/>
    <w:rsid w:val="00E72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6216D"/>
  <w15:chartTrackingRefBased/>
  <w15:docId w15:val="{C9A8A249-15CC-4B7A-BB9D-43E9ABA0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894"/>
    <w:rPr>
      <w:rFonts w:ascii="宋体" w:eastAsia="宋体" w:hAnsi="宋体" w:cs="宋体"/>
      <w:kern w:val="0"/>
      <w:sz w:val="24"/>
      <w:szCs w:val="24"/>
    </w:rPr>
  </w:style>
  <w:style w:type="paragraph" w:styleId="3">
    <w:name w:val="heading 3"/>
    <w:basedOn w:val="a"/>
    <w:link w:val="30"/>
    <w:uiPriority w:val="9"/>
    <w:qFormat/>
    <w:rsid w:val="00B26894"/>
    <w:pPr>
      <w:spacing w:after="150"/>
      <w:outlineLvl w:val="2"/>
    </w:pPr>
    <w:rPr>
      <w:rFonts w:ascii="inherit" w:hAnsi="inherit"/>
      <w:b/>
      <w:bCs/>
      <w:color w:val="111111"/>
      <w:sz w:val="30"/>
      <w:szCs w:val="30"/>
    </w:rPr>
  </w:style>
  <w:style w:type="paragraph" w:styleId="4">
    <w:name w:val="heading 4"/>
    <w:basedOn w:val="a"/>
    <w:link w:val="40"/>
    <w:uiPriority w:val="9"/>
    <w:qFormat/>
    <w:rsid w:val="00B26894"/>
    <w:pPr>
      <w:spacing w:after="150"/>
      <w:outlineLvl w:val="3"/>
    </w:pPr>
    <w:rPr>
      <w:rFonts w:ascii="inherit" w:hAnsi="inherit"/>
      <w:b/>
      <w:bCs/>
      <w:color w:val="111111"/>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B26894"/>
    <w:rPr>
      <w:rFonts w:ascii="inherit" w:eastAsia="宋体" w:hAnsi="inherit" w:cs="宋体"/>
      <w:b/>
      <w:bCs/>
      <w:color w:val="111111"/>
      <w:kern w:val="0"/>
      <w:sz w:val="30"/>
      <w:szCs w:val="30"/>
    </w:rPr>
  </w:style>
  <w:style w:type="character" w:customStyle="1" w:styleId="40">
    <w:name w:val="标题 4 字符"/>
    <w:basedOn w:val="a0"/>
    <w:link w:val="4"/>
    <w:uiPriority w:val="9"/>
    <w:rsid w:val="00B26894"/>
    <w:rPr>
      <w:rFonts w:ascii="inherit" w:eastAsia="宋体" w:hAnsi="inherit" w:cs="宋体"/>
      <w:b/>
      <w:bCs/>
      <w:color w:val="111111"/>
      <w:kern w:val="0"/>
      <w:sz w:val="27"/>
      <w:szCs w:val="27"/>
    </w:rPr>
  </w:style>
  <w:style w:type="character" w:styleId="a3">
    <w:name w:val="Hyperlink"/>
    <w:basedOn w:val="a0"/>
    <w:uiPriority w:val="99"/>
    <w:semiHidden/>
    <w:unhideWhenUsed/>
    <w:rsid w:val="00B26894"/>
    <w:rPr>
      <w:strike w:val="0"/>
      <w:dstrike w:val="0"/>
      <w:color w:val="428BCA"/>
      <w:u w:val="none"/>
      <w:effect w:val="none"/>
      <w:shd w:val="clear" w:color="auto" w:fill="auto"/>
    </w:rPr>
  </w:style>
  <w:style w:type="paragraph" w:customStyle="1" w:styleId="p1">
    <w:name w:val="p1"/>
    <w:basedOn w:val="a"/>
    <w:rsid w:val="00B26894"/>
    <w:pPr>
      <w:spacing w:before="100" w:beforeAutospacing="1" w:after="100" w:afterAutospacing="1"/>
      <w:jc w:val="center"/>
    </w:pPr>
    <w:rPr>
      <w:sz w:val="36"/>
      <w:szCs w:val="36"/>
    </w:rPr>
  </w:style>
  <w:style w:type="paragraph" w:customStyle="1" w:styleId="p2">
    <w:name w:val="p2"/>
    <w:basedOn w:val="a"/>
    <w:rsid w:val="00B26894"/>
    <w:pPr>
      <w:spacing w:before="100" w:beforeAutospacing="1" w:after="100" w:afterAutospacing="1"/>
      <w:ind w:firstLine="480"/>
      <w:jc w:val="both"/>
    </w:pPr>
    <w:rPr>
      <w:sz w:val="28"/>
      <w:szCs w:val="28"/>
    </w:rPr>
  </w:style>
  <w:style w:type="paragraph" w:customStyle="1" w:styleId="p3">
    <w:name w:val="p3"/>
    <w:basedOn w:val="a"/>
    <w:rsid w:val="00B26894"/>
    <w:pPr>
      <w:spacing w:before="100" w:beforeAutospacing="1" w:after="100" w:afterAutospacing="1"/>
      <w:jc w:val="both"/>
    </w:pPr>
    <w:rPr>
      <w:sz w:val="28"/>
      <w:szCs w:val="28"/>
    </w:rPr>
  </w:style>
  <w:style w:type="paragraph" w:customStyle="1" w:styleId="p4">
    <w:name w:val="p4"/>
    <w:basedOn w:val="a"/>
    <w:rsid w:val="00B26894"/>
    <w:pPr>
      <w:spacing w:before="100" w:beforeAutospacing="1" w:after="100" w:afterAutospacing="1"/>
      <w:ind w:firstLine="480"/>
      <w:jc w:val="right"/>
    </w:pPr>
    <w:rPr>
      <w:sz w:val="28"/>
      <w:szCs w:val="28"/>
    </w:rPr>
  </w:style>
  <w:style w:type="paragraph" w:customStyle="1" w:styleId="p5">
    <w:name w:val="p5"/>
    <w:basedOn w:val="a"/>
    <w:rsid w:val="00B26894"/>
    <w:pPr>
      <w:spacing w:before="100" w:beforeAutospacing="1" w:after="100" w:afterAutospacing="1"/>
      <w:ind w:firstLine="480"/>
      <w:jc w:val="center"/>
    </w:pPr>
    <w:rPr>
      <w:sz w:val="28"/>
      <w:szCs w:val="28"/>
    </w:rPr>
  </w:style>
  <w:style w:type="character" w:customStyle="1" w:styleId="s11">
    <w:name w:val="s11"/>
    <w:basedOn w:val="a0"/>
    <w:rsid w:val="00B26894"/>
    <w:rPr>
      <w:b/>
      <w:bCs/>
    </w:rPr>
  </w:style>
  <w:style w:type="paragraph" w:styleId="z-">
    <w:name w:val="HTML Top of Form"/>
    <w:basedOn w:val="a"/>
    <w:next w:val="a"/>
    <w:link w:val="z-0"/>
    <w:hidden/>
    <w:uiPriority w:val="99"/>
    <w:semiHidden/>
    <w:unhideWhenUsed/>
    <w:rsid w:val="00B26894"/>
    <w:pPr>
      <w:pBdr>
        <w:bottom w:val="single" w:sz="6" w:space="1" w:color="auto"/>
      </w:pBdr>
      <w:jc w:val="center"/>
    </w:pPr>
    <w:rPr>
      <w:rFonts w:ascii="Arial" w:hAnsi="Arial" w:cs="Arial"/>
      <w:vanish/>
      <w:sz w:val="16"/>
      <w:szCs w:val="16"/>
    </w:rPr>
  </w:style>
  <w:style w:type="character" w:customStyle="1" w:styleId="z-0">
    <w:name w:val="z-窗体顶端 字符"/>
    <w:basedOn w:val="a0"/>
    <w:link w:val="z-"/>
    <w:uiPriority w:val="99"/>
    <w:semiHidden/>
    <w:rsid w:val="00B26894"/>
    <w:rPr>
      <w:rFonts w:ascii="Arial" w:eastAsia="宋体" w:hAnsi="Arial" w:cs="Arial"/>
      <w:vanish/>
      <w:kern w:val="0"/>
      <w:sz w:val="16"/>
      <w:szCs w:val="16"/>
    </w:rPr>
  </w:style>
  <w:style w:type="paragraph" w:styleId="z-1">
    <w:name w:val="HTML Bottom of Form"/>
    <w:basedOn w:val="a"/>
    <w:next w:val="a"/>
    <w:link w:val="z-2"/>
    <w:hidden/>
    <w:uiPriority w:val="99"/>
    <w:semiHidden/>
    <w:unhideWhenUsed/>
    <w:rsid w:val="00B26894"/>
    <w:pPr>
      <w:pBdr>
        <w:top w:val="single" w:sz="6" w:space="1" w:color="auto"/>
      </w:pBdr>
      <w:jc w:val="center"/>
    </w:pPr>
    <w:rPr>
      <w:rFonts w:ascii="Arial" w:hAnsi="Arial" w:cs="Arial"/>
      <w:vanish/>
      <w:sz w:val="16"/>
      <w:szCs w:val="16"/>
    </w:rPr>
  </w:style>
  <w:style w:type="character" w:customStyle="1" w:styleId="z-2">
    <w:name w:val="z-窗体底端 字符"/>
    <w:basedOn w:val="a0"/>
    <w:link w:val="z-1"/>
    <w:uiPriority w:val="99"/>
    <w:semiHidden/>
    <w:rsid w:val="00B26894"/>
    <w:rPr>
      <w:rFonts w:ascii="Arial" w:eastAsia="宋体"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http://law168.com.cn/static/olaw/img/logo.png" TargetMode="Externa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hyperlink" Target="/advs/mq?dbc=&#27861;&#24459;&#27861;&#35268;&amp;c2=&#38598;&#20307;&#32463;&#27982;&#32452;&#32455;&amp;pgs=12&amp;pg=1&amp;id=1736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hyperlink" Target="javascript:%09getRelated('&#38598;&#20307;&#32463;&#27982;&#32452;&#32455;',%20,%20'&#27801;&#30000;&#38215;&#20892;&#26449;&#65288;&#31038;&#21306;&#65289;&#38598;&#20307;&#36164;&#20135;&#20132;&#26131;&#21150;&#27861;','173616')"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control" Target="activeX/activeX3.xml"/><Relationship Id="rId4" Type="http://schemas.openxmlformats.org/officeDocument/2006/relationships/hyperlink" Target="javascript:getMyComments(173616)" TargetMode="External"/><Relationship Id="rId9" Type="http://schemas.openxmlformats.org/officeDocument/2006/relationships/image" Target="media/image3.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1368</Words>
  <Characters>7799</Characters>
  <Application>Microsoft Office Word</Application>
  <DocSecurity>0</DocSecurity>
  <Lines>64</Lines>
  <Paragraphs>18</Paragraphs>
  <ScaleCrop>false</ScaleCrop>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Whong</dc:creator>
  <cp:keywords/>
  <dc:description/>
  <cp:lastModifiedBy>R Whong</cp:lastModifiedBy>
  <cp:revision>1</cp:revision>
  <dcterms:created xsi:type="dcterms:W3CDTF">2020-07-20T14:46:00Z</dcterms:created>
  <dcterms:modified xsi:type="dcterms:W3CDTF">2020-07-20T14:46:00Z</dcterms:modified>
</cp:coreProperties>
</file>