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9D43" w14:textId="77777777" w:rsidR="00974B27" w:rsidRDefault="00974B27" w:rsidP="00974B27">
      <w:pPr>
        <w:pStyle w:val="p1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关于印发《东坑镇政府主导的</w:t>
      </w:r>
      <w:r>
        <w:rPr>
          <w:rStyle w:val="s11"/>
          <w:rFonts w:ascii="Arial" w:hAnsi="Arial" w:cs="Arial"/>
          <w:color w:val="111111"/>
          <w:lang w:val="en"/>
        </w:rPr>
        <w:t>“</w:t>
      </w:r>
      <w:r>
        <w:rPr>
          <w:rStyle w:val="s11"/>
          <w:rFonts w:ascii="Arial" w:hAnsi="Arial" w:cs="Arial"/>
          <w:color w:val="111111"/>
          <w:lang w:val="en"/>
        </w:rPr>
        <w:t>三旧</w:t>
      </w:r>
      <w:r>
        <w:rPr>
          <w:rStyle w:val="s11"/>
          <w:rFonts w:ascii="Arial" w:hAnsi="Arial" w:cs="Arial"/>
          <w:color w:val="111111"/>
          <w:lang w:val="en"/>
        </w:rPr>
        <w:t>”</w:t>
      </w:r>
      <w:r>
        <w:rPr>
          <w:rStyle w:val="s11"/>
          <w:rFonts w:ascii="Arial" w:hAnsi="Arial" w:cs="Arial"/>
          <w:color w:val="111111"/>
          <w:lang w:val="en"/>
        </w:rPr>
        <w:t>改造用地收益分配细则》的通知</w:t>
      </w:r>
    </w:p>
    <w:p w14:paraId="4553C624" w14:textId="77777777" w:rsidR="00974B27" w:rsidRDefault="00974B27" w:rsidP="00974B27">
      <w:pPr>
        <w:pStyle w:val="p2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东发〔</w:t>
      </w:r>
      <w:r>
        <w:rPr>
          <w:rFonts w:ascii="Arial" w:hAnsi="Arial" w:cs="Arial"/>
          <w:color w:val="111111"/>
          <w:lang w:val="en"/>
        </w:rPr>
        <w:t>2017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48</w:t>
      </w:r>
      <w:r>
        <w:rPr>
          <w:rFonts w:ascii="Arial" w:hAnsi="Arial" w:cs="Arial"/>
          <w:color w:val="111111"/>
          <w:lang w:val="en"/>
        </w:rPr>
        <w:t>号</w:t>
      </w:r>
    </w:p>
    <w:p w14:paraId="39E532C3" w14:textId="77777777" w:rsidR="00974B27" w:rsidRDefault="00974B27" w:rsidP="00974B27">
      <w:pPr>
        <w:pStyle w:val="p4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各村（社区）、各单位（部门）：</w:t>
      </w:r>
    </w:p>
    <w:p w14:paraId="28D93AF5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《东坑镇政府主导的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改造用地收益分配细则》业经镇政府同意，现印发给你们，请认真贯彻执行。</w:t>
      </w:r>
    </w:p>
    <w:p w14:paraId="30B793DC" w14:textId="77777777" w:rsidR="00974B27" w:rsidRDefault="00974B27" w:rsidP="00974B27">
      <w:pPr>
        <w:pStyle w:val="p6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东莞市东坑镇人民政府</w:t>
      </w:r>
    </w:p>
    <w:p w14:paraId="0DB02402" w14:textId="77777777" w:rsidR="00974B27" w:rsidRDefault="00974B27" w:rsidP="00974B27">
      <w:pPr>
        <w:pStyle w:val="p6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2017</w:t>
      </w:r>
      <w:r>
        <w:rPr>
          <w:rFonts w:ascii="Arial" w:hAnsi="Arial" w:cs="Arial"/>
          <w:color w:val="111111"/>
          <w:lang w:val="en"/>
        </w:rPr>
        <w:t>年</w:t>
      </w:r>
      <w:r>
        <w:rPr>
          <w:rFonts w:ascii="Arial" w:hAnsi="Arial" w:cs="Arial"/>
          <w:color w:val="111111"/>
          <w:lang w:val="en"/>
        </w:rPr>
        <w:t>12</w:t>
      </w:r>
      <w:r>
        <w:rPr>
          <w:rFonts w:ascii="Arial" w:hAnsi="Arial" w:cs="Arial"/>
          <w:color w:val="111111"/>
          <w:lang w:val="en"/>
        </w:rPr>
        <w:t>月</w:t>
      </w:r>
      <w:r>
        <w:rPr>
          <w:rFonts w:ascii="Arial" w:hAnsi="Arial" w:cs="Arial"/>
          <w:color w:val="111111"/>
          <w:lang w:val="en"/>
        </w:rPr>
        <w:t>26</w:t>
      </w:r>
      <w:r>
        <w:rPr>
          <w:rFonts w:ascii="Arial" w:hAnsi="Arial" w:cs="Arial"/>
          <w:color w:val="111111"/>
          <w:lang w:val="en"/>
        </w:rPr>
        <w:t>日</w:t>
      </w:r>
    </w:p>
    <w:p w14:paraId="39622656" w14:textId="77777777" w:rsidR="00974B27" w:rsidRDefault="00974B27" w:rsidP="00974B27">
      <w:pPr>
        <w:pStyle w:val="p1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东坑镇政府主导的</w:t>
      </w:r>
      <w:r>
        <w:rPr>
          <w:rStyle w:val="s11"/>
          <w:rFonts w:ascii="Arial" w:hAnsi="Arial" w:cs="Arial"/>
          <w:color w:val="111111"/>
          <w:lang w:val="en"/>
        </w:rPr>
        <w:t>“</w:t>
      </w:r>
      <w:r>
        <w:rPr>
          <w:rStyle w:val="s11"/>
          <w:rFonts w:ascii="Arial" w:hAnsi="Arial" w:cs="Arial"/>
          <w:color w:val="111111"/>
          <w:lang w:val="en"/>
        </w:rPr>
        <w:t>三旧</w:t>
      </w:r>
      <w:r>
        <w:rPr>
          <w:rStyle w:val="s11"/>
          <w:rFonts w:ascii="Arial" w:hAnsi="Arial" w:cs="Arial"/>
          <w:color w:val="111111"/>
          <w:lang w:val="en"/>
        </w:rPr>
        <w:t>”</w:t>
      </w:r>
      <w:r>
        <w:rPr>
          <w:rStyle w:val="s11"/>
          <w:rFonts w:ascii="Arial" w:hAnsi="Arial" w:cs="Arial"/>
          <w:color w:val="111111"/>
          <w:lang w:val="en"/>
        </w:rPr>
        <w:t>改造用地收益分配细则</w:t>
      </w:r>
    </w:p>
    <w:p w14:paraId="05658145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随着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改造工作的开展，为适应土地市场变化，给予改造主体合理的地价优惠，统筹兼顾政府、集体、土地权利人等各方利益，根据《东莞市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改造实施细则（试行）》（东府〔</w:t>
      </w:r>
      <w:r>
        <w:rPr>
          <w:rFonts w:ascii="Arial" w:hAnsi="Arial" w:cs="Arial"/>
          <w:color w:val="111111"/>
          <w:lang w:val="en"/>
        </w:rPr>
        <w:t>2009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144</w:t>
      </w:r>
      <w:r>
        <w:rPr>
          <w:rFonts w:ascii="Arial" w:hAnsi="Arial" w:cs="Arial"/>
          <w:color w:val="111111"/>
          <w:lang w:val="en"/>
        </w:rPr>
        <w:t>号）《东莞市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改造地价计收和分配办法（试行）》（东府〔</w:t>
      </w:r>
      <w:r>
        <w:rPr>
          <w:rFonts w:ascii="Arial" w:hAnsi="Arial" w:cs="Arial"/>
          <w:color w:val="111111"/>
          <w:lang w:val="en"/>
        </w:rPr>
        <w:t>2017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50</w:t>
      </w:r>
      <w:r>
        <w:rPr>
          <w:rFonts w:ascii="Arial" w:hAnsi="Arial" w:cs="Arial"/>
          <w:color w:val="111111"/>
          <w:lang w:val="en"/>
        </w:rPr>
        <w:t>号）《东坑镇关于规范土地利用程序加强土地征地储备工作的意见》（东发〔</w:t>
      </w:r>
      <w:r>
        <w:rPr>
          <w:rFonts w:ascii="Arial" w:hAnsi="Arial" w:cs="Arial"/>
          <w:color w:val="111111"/>
          <w:lang w:val="en"/>
        </w:rPr>
        <w:t>2008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4</w:t>
      </w:r>
      <w:r>
        <w:rPr>
          <w:rFonts w:ascii="Arial" w:hAnsi="Arial" w:cs="Arial"/>
          <w:color w:val="111111"/>
          <w:lang w:val="en"/>
        </w:rPr>
        <w:t>号）及有关政策规定，现对我镇政府主导的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改造用地地价分配制定具体的收益分配细则。</w:t>
      </w:r>
    </w:p>
    <w:p w14:paraId="221CE73F" w14:textId="77777777" w:rsidR="00974B27" w:rsidRDefault="00974B27" w:rsidP="00974B27">
      <w:pPr>
        <w:pStyle w:val="p7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一、总则</w:t>
      </w:r>
    </w:p>
    <w:p w14:paraId="49E011AF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经市批准的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改造项目，国有建设用地使用权以出让方式供应的，改造方式为政府主导的，适用本细则。</w:t>
      </w:r>
    </w:p>
    <w:p w14:paraId="34135073" w14:textId="77777777" w:rsidR="00974B27" w:rsidRDefault="00974B27" w:rsidP="00974B27">
      <w:pPr>
        <w:pStyle w:val="p7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二、分配对象</w:t>
      </w:r>
    </w:p>
    <w:p w14:paraId="64021881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本细则涉及的收益分配对象是镇人民政府、集体经济组织、原国有土地使用权人。</w:t>
      </w:r>
    </w:p>
    <w:p w14:paraId="3F72E6B4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三、分配办法</w:t>
      </w:r>
    </w:p>
    <w:p w14:paraId="36095910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（一）通过征收农村集体建设用地后进行经营性开发的，按照《东坑镇关于规范土地利用程序加强土地征地储备工作的意见》（东发〔</w:t>
      </w:r>
      <w:r>
        <w:rPr>
          <w:rFonts w:ascii="Arial" w:hAnsi="Arial" w:cs="Arial"/>
          <w:color w:val="111111"/>
          <w:lang w:val="en"/>
        </w:rPr>
        <w:t>2008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4</w:t>
      </w:r>
      <w:r>
        <w:rPr>
          <w:rFonts w:ascii="Arial" w:hAnsi="Arial" w:cs="Arial"/>
          <w:color w:val="111111"/>
          <w:lang w:val="en"/>
        </w:rPr>
        <w:t>号）及《东坑镇关于规范土地利用程序加强土地征地储备工作的补充意见》（东发〔</w:t>
      </w:r>
      <w:r>
        <w:rPr>
          <w:rFonts w:ascii="Arial" w:hAnsi="Arial" w:cs="Arial"/>
          <w:color w:val="111111"/>
          <w:lang w:val="en"/>
        </w:rPr>
        <w:t>2008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6</w:t>
      </w:r>
      <w:r>
        <w:rPr>
          <w:rFonts w:ascii="Arial" w:hAnsi="Arial" w:cs="Arial"/>
          <w:color w:val="111111"/>
          <w:lang w:val="en"/>
        </w:rPr>
        <w:t>号）的规定，新增统筹用地按土地出让纯收益的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比例返还给村集体，专项用于支持农村集体经济组织的发展。历史统筹土地按原统筹合同约定标准执行。</w:t>
      </w:r>
    </w:p>
    <w:p w14:paraId="1FAA9434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（二）政府主导项目，收回镇政府或其下属公司</w:t>
      </w:r>
      <w:proofErr w:type="gramStart"/>
      <w:r>
        <w:rPr>
          <w:rFonts w:ascii="Arial" w:hAnsi="Arial" w:cs="Arial"/>
          <w:color w:val="111111"/>
          <w:lang w:val="en"/>
        </w:rPr>
        <w:t>名下公益</w:t>
      </w:r>
      <w:proofErr w:type="gramEnd"/>
      <w:r>
        <w:rPr>
          <w:rFonts w:ascii="Arial" w:hAnsi="Arial" w:cs="Arial"/>
          <w:color w:val="111111"/>
          <w:lang w:val="en"/>
        </w:rPr>
        <w:t>事业项目的国有建设用地使用权</w:t>
      </w:r>
      <w:proofErr w:type="gramStart"/>
      <w:r>
        <w:rPr>
          <w:rFonts w:ascii="Arial" w:hAnsi="Arial" w:cs="Arial"/>
          <w:color w:val="111111"/>
          <w:lang w:val="en"/>
        </w:rPr>
        <w:t>后规划</w:t>
      </w:r>
      <w:proofErr w:type="gramEnd"/>
      <w:r>
        <w:rPr>
          <w:rFonts w:ascii="Arial" w:hAnsi="Arial" w:cs="Arial"/>
          <w:color w:val="111111"/>
          <w:lang w:val="en"/>
        </w:rPr>
        <w:t>为住宅或商服用途出让的，按照《东</w:t>
      </w:r>
      <w:r>
        <w:rPr>
          <w:rFonts w:ascii="Arial" w:hAnsi="Arial" w:cs="Arial"/>
          <w:color w:val="111111"/>
          <w:lang w:val="en"/>
        </w:rPr>
        <w:lastRenderedPageBreak/>
        <w:t>坑镇关于规范土地利用程序加强土地征地储备工作的意见》（东发〔</w:t>
      </w:r>
      <w:r>
        <w:rPr>
          <w:rFonts w:ascii="Arial" w:hAnsi="Arial" w:cs="Arial"/>
          <w:color w:val="111111"/>
          <w:lang w:val="en"/>
        </w:rPr>
        <w:t>2008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4</w:t>
      </w:r>
      <w:r>
        <w:rPr>
          <w:rFonts w:ascii="Arial" w:hAnsi="Arial" w:cs="Arial"/>
          <w:color w:val="111111"/>
          <w:lang w:val="en"/>
        </w:rPr>
        <w:t>号）及《东坑镇关于规范土地利用程序加强土地征地储备工作的补充意见》（东发〔</w:t>
      </w:r>
      <w:r>
        <w:rPr>
          <w:rFonts w:ascii="Arial" w:hAnsi="Arial" w:cs="Arial"/>
          <w:color w:val="111111"/>
          <w:lang w:val="en"/>
        </w:rPr>
        <w:t>2008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6</w:t>
      </w:r>
      <w:r>
        <w:rPr>
          <w:rFonts w:ascii="Arial" w:hAnsi="Arial" w:cs="Arial"/>
          <w:color w:val="111111"/>
          <w:lang w:val="en"/>
        </w:rPr>
        <w:t>号）的规定，新增统筹用地按土地出让纯收益的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比例返还给村集体，用于支持原被征收土地的集体经济组织发展。历史统筹土地按原统筹合同约定标准执行。</w:t>
      </w:r>
    </w:p>
    <w:p w14:paraId="6E045D1D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（三）集体经济组织自行收回集体建设用地使用权、完成地上建筑物及附着物拆迁补偿并申请转为国有建设用地后，交由政府收储后出让的，政府按照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基础补偿</w:t>
      </w:r>
      <w:r>
        <w:rPr>
          <w:rFonts w:ascii="Arial" w:hAnsi="Arial" w:cs="Arial"/>
          <w:color w:val="111111"/>
          <w:lang w:val="en"/>
        </w:rPr>
        <w:t>+</w:t>
      </w:r>
      <w:r>
        <w:rPr>
          <w:rFonts w:ascii="Arial" w:hAnsi="Arial" w:cs="Arial"/>
          <w:color w:val="111111"/>
          <w:lang w:val="en"/>
        </w:rPr>
        <w:t>增值共享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的方式计算收储补偿费用。基础补偿按照实际的收储标准进行计算，增值共享按照土地出让纯收益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计算。</w:t>
      </w:r>
    </w:p>
    <w:p w14:paraId="387513A7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（四）政府收购储备国有建设用地以后以经营性用途出让的，政府按照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基础补偿</w:t>
      </w:r>
      <w:r>
        <w:rPr>
          <w:rFonts w:ascii="Arial" w:hAnsi="Arial" w:cs="Arial"/>
          <w:color w:val="111111"/>
          <w:lang w:val="en"/>
        </w:rPr>
        <w:t>+</w:t>
      </w:r>
      <w:r>
        <w:rPr>
          <w:rFonts w:ascii="Arial" w:hAnsi="Arial" w:cs="Arial"/>
          <w:color w:val="111111"/>
          <w:lang w:val="en"/>
        </w:rPr>
        <w:t>增值共享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的方式计算支付给原土地使用权人的收储补偿费用，其中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基础补偿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按照《东莞市土地储备管理实施办法》（东府〔</w:t>
      </w:r>
      <w:r>
        <w:rPr>
          <w:rFonts w:ascii="Arial" w:hAnsi="Arial" w:cs="Arial"/>
          <w:color w:val="111111"/>
          <w:lang w:val="en"/>
        </w:rPr>
        <w:t>2015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90</w:t>
      </w:r>
      <w:r>
        <w:rPr>
          <w:rFonts w:ascii="Arial" w:hAnsi="Arial" w:cs="Arial"/>
          <w:color w:val="111111"/>
          <w:lang w:val="en"/>
        </w:rPr>
        <w:t>号）第十七条和十八条规定计算，国有出让土地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增值共享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按土地出让纯收益</w:t>
      </w:r>
      <w:r>
        <w:rPr>
          <w:rFonts w:ascii="Arial" w:hAnsi="Arial" w:cs="Arial"/>
          <w:color w:val="111111"/>
          <w:lang w:val="en"/>
        </w:rPr>
        <w:t>30%</w:t>
      </w:r>
      <w:r>
        <w:rPr>
          <w:rFonts w:ascii="Arial" w:hAnsi="Arial" w:cs="Arial"/>
          <w:color w:val="111111"/>
          <w:lang w:val="en"/>
        </w:rPr>
        <w:t>的比例计算，国有划拨土地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增值共享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按土地出让纯收益</w:t>
      </w:r>
      <w:r>
        <w:rPr>
          <w:rFonts w:ascii="Arial" w:hAnsi="Arial" w:cs="Arial"/>
          <w:color w:val="111111"/>
          <w:lang w:val="en"/>
        </w:rPr>
        <w:t>20%</w:t>
      </w:r>
      <w:r>
        <w:rPr>
          <w:rFonts w:ascii="Arial" w:hAnsi="Arial" w:cs="Arial"/>
          <w:color w:val="111111"/>
          <w:lang w:val="en"/>
        </w:rPr>
        <w:t>的比例计算。</w:t>
      </w:r>
    </w:p>
    <w:p w14:paraId="7E7FB9B7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根据《东莞市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改造地价计收和分配办法（试行）》（东府〔</w:t>
      </w:r>
      <w:r>
        <w:rPr>
          <w:rFonts w:ascii="Arial" w:hAnsi="Arial" w:cs="Arial"/>
          <w:color w:val="111111"/>
          <w:lang w:val="en"/>
        </w:rPr>
        <w:t>2017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50</w:t>
      </w:r>
      <w:r>
        <w:rPr>
          <w:rFonts w:ascii="Arial" w:hAnsi="Arial" w:cs="Arial"/>
          <w:color w:val="111111"/>
          <w:lang w:val="en"/>
        </w:rPr>
        <w:t>号），除收购储备国有企业的用地外，以上两项费用（基础补偿</w:t>
      </w:r>
      <w:r>
        <w:rPr>
          <w:rFonts w:ascii="Arial" w:hAnsi="Arial" w:cs="Arial"/>
          <w:color w:val="111111"/>
          <w:lang w:val="en"/>
        </w:rPr>
        <w:t>+</w:t>
      </w:r>
      <w:r>
        <w:rPr>
          <w:rFonts w:ascii="Arial" w:hAnsi="Arial" w:cs="Arial"/>
          <w:color w:val="111111"/>
          <w:lang w:val="en"/>
        </w:rPr>
        <w:t>增值共享）合计不得超过以下限值：</w:t>
      </w:r>
    </w:p>
    <w:p w14:paraId="0504AFB3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1.</w:t>
      </w:r>
      <w:r>
        <w:rPr>
          <w:rFonts w:ascii="Arial" w:hAnsi="Arial" w:cs="Arial"/>
          <w:color w:val="111111"/>
          <w:lang w:val="en"/>
        </w:rPr>
        <w:t>若我镇被定义为次发达镇，出让宗地规划容积率小于或等于</w:t>
      </w:r>
      <w:r>
        <w:rPr>
          <w:rFonts w:ascii="Arial" w:hAnsi="Arial" w:cs="Arial"/>
          <w:color w:val="111111"/>
          <w:lang w:val="en"/>
        </w:rPr>
        <w:t>2.5</w:t>
      </w:r>
      <w:r>
        <w:rPr>
          <w:rFonts w:ascii="Arial" w:hAnsi="Arial" w:cs="Arial"/>
          <w:color w:val="111111"/>
          <w:lang w:val="en"/>
        </w:rPr>
        <w:t>的，以上两项费用合计不得超过土地出让成交价款的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；出让宗地规划容积率大于</w:t>
      </w:r>
      <w:r>
        <w:rPr>
          <w:rFonts w:ascii="Arial" w:hAnsi="Arial" w:cs="Arial"/>
          <w:color w:val="111111"/>
          <w:lang w:val="en"/>
        </w:rPr>
        <w:t>2.5</w:t>
      </w:r>
      <w:r>
        <w:rPr>
          <w:rFonts w:ascii="Arial" w:hAnsi="Arial" w:cs="Arial"/>
          <w:color w:val="111111"/>
          <w:lang w:val="en"/>
        </w:rPr>
        <w:t>的，以上两项费用合计不得超过土地出让成交价款容积率</w:t>
      </w:r>
      <w:r>
        <w:rPr>
          <w:rFonts w:ascii="Arial" w:hAnsi="Arial" w:cs="Arial"/>
          <w:color w:val="111111"/>
          <w:lang w:val="en"/>
        </w:rPr>
        <w:t>2.5</w:t>
      </w:r>
      <w:r>
        <w:rPr>
          <w:rFonts w:ascii="Arial" w:hAnsi="Arial" w:cs="Arial"/>
          <w:color w:val="111111"/>
          <w:lang w:val="en"/>
        </w:rPr>
        <w:t>以下部分的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。</w:t>
      </w:r>
    </w:p>
    <w:p w14:paraId="1FD51037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2.</w:t>
      </w:r>
      <w:r>
        <w:rPr>
          <w:rFonts w:ascii="Arial" w:hAnsi="Arial" w:cs="Arial"/>
          <w:color w:val="111111"/>
          <w:lang w:val="en"/>
        </w:rPr>
        <w:t>若我镇被定义</w:t>
      </w:r>
      <w:proofErr w:type="gramStart"/>
      <w:r>
        <w:rPr>
          <w:rFonts w:ascii="Arial" w:hAnsi="Arial" w:cs="Arial"/>
          <w:color w:val="111111"/>
          <w:lang w:val="en"/>
        </w:rPr>
        <w:t>为非次发达</w:t>
      </w:r>
      <w:proofErr w:type="gramEnd"/>
      <w:r>
        <w:rPr>
          <w:rFonts w:ascii="Arial" w:hAnsi="Arial" w:cs="Arial"/>
          <w:color w:val="111111"/>
          <w:lang w:val="en"/>
        </w:rPr>
        <w:t>镇，出让宗地规划容积率小于或等于</w:t>
      </w:r>
      <w:r>
        <w:rPr>
          <w:rFonts w:ascii="Arial" w:hAnsi="Arial" w:cs="Arial"/>
          <w:color w:val="111111"/>
          <w:lang w:val="en"/>
        </w:rPr>
        <w:t>2.0</w:t>
      </w:r>
      <w:r>
        <w:rPr>
          <w:rFonts w:ascii="Arial" w:hAnsi="Arial" w:cs="Arial"/>
          <w:color w:val="111111"/>
          <w:lang w:val="en"/>
        </w:rPr>
        <w:t>的，以上两项费用合计不得超过土地出让成交价款的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；出让宗地规划容积率大于</w:t>
      </w:r>
      <w:r>
        <w:rPr>
          <w:rFonts w:ascii="Arial" w:hAnsi="Arial" w:cs="Arial"/>
          <w:color w:val="111111"/>
          <w:lang w:val="en"/>
        </w:rPr>
        <w:t>2.0</w:t>
      </w:r>
      <w:r>
        <w:rPr>
          <w:rFonts w:ascii="Arial" w:hAnsi="Arial" w:cs="Arial"/>
          <w:color w:val="111111"/>
          <w:lang w:val="en"/>
        </w:rPr>
        <w:t>的，以上两项费用合计不得超过土地出让成交价款容积率</w:t>
      </w:r>
      <w:r>
        <w:rPr>
          <w:rFonts w:ascii="Arial" w:hAnsi="Arial" w:cs="Arial"/>
          <w:color w:val="111111"/>
          <w:lang w:val="en"/>
        </w:rPr>
        <w:t>2.0</w:t>
      </w:r>
      <w:r>
        <w:rPr>
          <w:rFonts w:ascii="Arial" w:hAnsi="Arial" w:cs="Arial"/>
          <w:color w:val="111111"/>
          <w:lang w:val="en"/>
        </w:rPr>
        <w:t>以下部分的</w:t>
      </w:r>
      <w:r>
        <w:rPr>
          <w:rFonts w:ascii="Arial" w:hAnsi="Arial" w:cs="Arial"/>
          <w:color w:val="111111"/>
          <w:lang w:val="en"/>
        </w:rPr>
        <w:t>50%</w:t>
      </w:r>
      <w:r>
        <w:rPr>
          <w:rFonts w:ascii="Arial" w:hAnsi="Arial" w:cs="Arial"/>
          <w:color w:val="111111"/>
          <w:lang w:val="en"/>
        </w:rPr>
        <w:t>。</w:t>
      </w:r>
    </w:p>
    <w:p w14:paraId="4BDBCB92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四、其他</w:t>
      </w:r>
    </w:p>
    <w:p w14:paraId="4A1D85B7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除政府主导外其他原土地使用权人自行改造，集体经济组织自行改造、合作改造及边角地、夹心地、插花地等情形的按照《东莞市人民政府印发〈东莞市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改造地价计收和分配办法（试行）〉的通知》（东府〔</w:t>
      </w:r>
      <w:r>
        <w:rPr>
          <w:rFonts w:ascii="Arial" w:hAnsi="Arial" w:cs="Arial"/>
          <w:color w:val="111111"/>
          <w:lang w:val="en"/>
        </w:rPr>
        <w:t>2017</w:t>
      </w:r>
      <w:r>
        <w:rPr>
          <w:rFonts w:ascii="Arial" w:hAnsi="Arial" w:cs="Arial"/>
          <w:color w:val="111111"/>
          <w:lang w:val="en"/>
        </w:rPr>
        <w:t>〕</w:t>
      </w:r>
      <w:r>
        <w:rPr>
          <w:rFonts w:ascii="Arial" w:hAnsi="Arial" w:cs="Arial"/>
          <w:color w:val="111111"/>
          <w:lang w:val="en"/>
        </w:rPr>
        <w:t>50</w:t>
      </w:r>
      <w:r>
        <w:rPr>
          <w:rFonts w:ascii="Arial" w:hAnsi="Arial" w:cs="Arial"/>
          <w:color w:val="111111"/>
          <w:lang w:val="en"/>
        </w:rPr>
        <w:t>号）规定执行。</w:t>
      </w:r>
    </w:p>
    <w:p w14:paraId="699FA9F9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本细则实施前已签订统筹合同的，按原统筹合同约定的标准执行。</w:t>
      </w:r>
    </w:p>
    <w:p w14:paraId="2D48B643" w14:textId="77777777" w:rsidR="00974B27" w:rsidRDefault="00974B27" w:rsidP="00974B27">
      <w:pPr>
        <w:pStyle w:val="p5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lastRenderedPageBreak/>
        <w:t>本细则由东坑镇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改造领导小组办公室解释，自公布之日起实施，有效期为</w:t>
      </w:r>
      <w:r>
        <w:rPr>
          <w:rFonts w:ascii="Arial" w:hAnsi="Arial" w:cs="Arial"/>
          <w:color w:val="111111"/>
          <w:lang w:val="en"/>
        </w:rPr>
        <w:t>3</w:t>
      </w:r>
      <w:r>
        <w:rPr>
          <w:rFonts w:ascii="Arial" w:hAnsi="Arial" w:cs="Arial"/>
          <w:color w:val="111111"/>
          <w:lang w:val="en"/>
        </w:rPr>
        <w:t>年。</w:t>
      </w:r>
    </w:p>
    <w:p w14:paraId="5984E508" w14:textId="77777777" w:rsidR="00974B27" w:rsidRDefault="00974B27" w:rsidP="00974B27">
      <w:pPr>
        <w:pStyle w:val="3"/>
        <w:rPr>
          <w:rFonts w:cs="Arial"/>
          <w:vanish/>
        </w:rPr>
      </w:pPr>
      <w:hyperlink r:id="rId4" w:history="1">
        <w:r>
          <w:rPr>
            <w:rStyle w:val="a3"/>
            <w:rFonts w:cs="Arial"/>
            <w:vanish/>
          </w:rPr>
          <w:t>我的评论与建议</w:t>
        </w:r>
      </w:hyperlink>
    </w:p>
    <w:p w14:paraId="5A5342B0" w14:textId="77777777" w:rsidR="00974B27" w:rsidRDefault="00974B27" w:rsidP="00974B27">
      <w:pPr>
        <w:pStyle w:val="3"/>
        <w:rPr>
          <w:rFonts w:cs="Arial"/>
        </w:rPr>
      </w:pPr>
      <w:r>
        <w:rPr>
          <w:rFonts w:cs="Arial"/>
        </w:rPr>
        <w:t>发表评论与建议</w:t>
      </w:r>
    </w:p>
    <w:p w14:paraId="47325186" w14:textId="77777777" w:rsidR="00974B27" w:rsidRDefault="00974B27" w:rsidP="00974B27">
      <w:pPr>
        <w:pStyle w:val="z-"/>
        <w:rPr>
          <w:rFonts w:hint="eastAsia"/>
        </w:rPr>
      </w:pPr>
      <w:r>
        <w:rPr>
          <w:rFonts w:hint="eastAsia"/>
        </w:rPr>
        <w:t>窗体顶端</w:t>
      </w:r>
    </w:p>
    <w:p w14:paraId="706E579F" w14:textId="0B3FBD61" w:rsidR="00974B27" w:rsidRDefault="00974B27" w:rsidP="00974B27">
      <w:p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object w:dxaOrig="1440" w:dyaOrig="1440" w14:anchorId="70724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2.4pt;height:18pt" o:ole="">
            <v:imagedata r:id="rId5" o:title=""/>
          </v:shape>
          <w:control r:id="rId6" w:name="DefaultOcxName" w:shapeid="_x0000_i1037"/>
        </w:object>
      </w:r>
      <w:r>
        <w:rPr>
          <w:rFonts w:ascii="Arial" w:hAnsi="Arial" w:cs="Arial"/>
          <w:color w:val="111111"/>
          <w:sz w:val="21"/>
          <w:szCs w:val="21"/>
        </w:rPr>
        <w:object w:dxaOrig="1440" w:dyaOrig="1440" w14:anchorId="6B2ECCFF">
          <v:shape id="_x0000_i1036" type="#_x0000_t75" style="width:62.4pt;height:18pt" o:ole="">
            <v:imagedata r:id="rId7" o:title=""/>
          </v:shape>
          <w:control r:id="rId8" w:name="DefaultOcxName1" w:shapeid="_x0000_i1036"/>
        </w:object>
      </w:r>
      <w:r>
        <w:rPr>
          <w:rFonts w:ascii="Arial" w:hAnsi="Arial" w:cs="Arial"/>
          <w:color w:val="111111"/>
          <w:sz w:val="21"/>
          <w:szCs w:val="21"/>
        </w:rPr>
        <w:object w:dxaOrig="1440" w:dyaOrig="1440" w14:anchorId="7D7B536F">
          <v:shape id="_x0000_i1035" type="#_x0000_t75" style="width:150.6pt;height:54.6pt" o:ole="">
            <v:imagedata r:id="rId9" o:title=""/>
          </v:shape>
          <w:control r:id="rId10" w:name="DefaultOcxName2" w:shapeid="_x0000_i1035"/>
        </w:object>
      </w:r>
      <w:r>
        <w:rPr>
          <w:rFonts w:ascii="Arial" w:hAnsi="Arial" w:cs="Arial"/>
          <w:color w:val="111111"/>
          <w:sz w:val="21"/>
          <w:szCs w:val="21"/>
        </w:rPr>
        <w:t>发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表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</w:p>
    <w:p w14:paraId="542455B6" w14:textId="77777777" w:rsidR="00974B27" w:rsidRDefault="00974B27" w:rsidP="00974B27">
      <w:pPr>
        <w:pStyle w:val="z-1"/>
        <w:rPr>
          <w:rFonts w:hint="eastAsia"/>
        </w:rPr>
      </w:pPr>
      <w:r>
        <w:rPr>
          <w:rFonts w:hint="eastAsia"/>
        </w:rPr>
        <w:t>窗体底端</w:t>
      </w:r>
    </w:p>
    <w:p w14:paraId="10F91723" w14:textId="77777777" w:rsidR="00974B27" w:rsidRDefault="00974B27" w:rsidP="00974B27">
      <w:pPr>
        <w:spacing w:after="240"/>
        <w:rPr>
          <w:rFonts w:ascii="Arial" w:hAnsi="Arial" w:cs="Arial"/>
          <w:color w:val="111111"/>
          <w:sz w:val="21"/>
          <w:szCs w:val="21"/>
        </w:rPr>
      </w:pPr>
    </w:p>
    <w:p w14:paraId="3EF96265" w14:textId="77777777" w:rsidR="00974B27" w:rsidRDefault="00974B27" w:rsidP="00974B27">
      <w:pPr>
        <w:pStyle w:val="4"/>
        <w:jc w:val="center"/>
        <w:rPr>
          <w:rFonts w:cs="Arial"/>
        </w:rPr>
      </w:pPr>
      <w:r>
        <w:rPr>
          <w:rFonts w:cs="Arial"/>
        </w:rPr>
        <w:t>基本信息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5499"/>
      </w:tblGrid>
      <w:tr w:rsidR="00974B27" w14:paraId="6619AEF1" w14:textId="77777777" w:rsidTr="00717D3E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00409DE1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发文部门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9F56467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东莞市东坑镇人民政府</w:t>
            </w:r>
          </w:p>
        </w:tc>
      </w:tr>
      <w:tr w:rsidR="00974B27" w14:paraId="4C1838C0" w14:textId="77777777" w:rsidTr="00717D3E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02592E85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发文字号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5A4510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东发〔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〕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48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号</w:t>
            </w:r>
          </w:p>
        </w:tc>
      </w:tr>
      <w:tr w:rsidR="00974B27" w14:paraId="41A7529D" w14:textId="77777777" w:rsidTr="00717D3E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58460899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发布日期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1C4B02C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2017-12-16 00:00:00</w:t>
            </w:r>
          </w:p>
        </w:tc>
      </w:tr>
      <w:tr w:rsidR="00974B27" w14:paraId="4A44638F" w14:textId="77777777" w:rsidTr="00717D3E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4B192794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实施日期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F102ABD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2017-12-16 00:00:00</w:t>
            </w:r>
          </w:p>
        </w:tc>
      </w:tr>
      <w:tr w:rsidR="00974B27" w14:paraId="71D1A67E" w14:textId="77777777" w:rsidTr="00717D3E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3CAC490E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失效日期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87B6B56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2020-12-15 00:00:00</w:t>
            </w:r>
          </w:p>
        </w:tc>
      </w:tr>
      <w:tr w:rsidR="00974B27" w14:paraId="3CF71C11" w14:textId="77777777" w:rsidTr="00717D3E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12ED3154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时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 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效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 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性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8A193E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现行有效</w:t>
            </w:r>
          </w:p>
        </w:tc>
      </w:tr>
      <w:tr w:rsidR="00974B27" w14:paraId="45EA8349" w14:textId="77777777" w:rsidTr="00717D3E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6EFC8905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效力层级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92184A4" w14:textId="77777777" w:rsidR="00974B27" w:rsidRDefault="00974B27" w:rsidP="00717D3E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行政规范性文件</w:t>
            </w:r>
          </w:p>
        </w:tc>
      </w:tr>
    </w:tbl>
    <w:p w14:paraId="50BB5D16" w14:textId="77777777" w:rsidR="00974B27" w:rsidRDefault="00974B27" w:rsidP="00974B27">
      <w:pPr>
        <w:pStyle w:val="4"/>
        <w:jc w:val="center"/>
        <w:rPr>
          <w:rFonts w:cs="Arial"/>
          <w:vanish/>
        </w:rPr>
      </w:pPr>
      <w:r>
        <w:rPr>
          <w:rFonts w:cs="Arial"/>
          <w:vanish/>
        </w:rPr>
        <w:t>相关文档</w:t>
      </w:r>
    </w:p>
    <w:p w14:paraId="3EEEFF77" w14:textId="77777777" w:rsidR="00974B27" w:rsidRDefault="00974B27" w:rsidP="00974B27">
      <w:pPr>
        <w:rPr>
          <w:rFonts w:ascii="Arial" w:hAnsi="Arial" w:cs="Arial"/>
          <w:vanish/>
          <w:color w:val="111111"/>
        </w:rPr>
      </w:pPr>
      <w:r>
        <w:rPr>
          <w:rFonts w:ascii="Arial" w:hAnsi="Arial" w:cs="Arial"/>
          <w:vanish/>
          <w:color w:val="111111"/>
        </w:rPr>
        <w:t>所有相关</w:t>
      </w:r>
      <w:r>
        <w:rPr>
          <w:rFonts w:ascii="Arial" w:hAnsi="Arial" w:cs="Arial"/>
          <w:vanish/>
          <w:color w:val="111111"/>
        </w:rPr>
        <w:t xml:space="preserve"> </w:t>
      </w:r>
      <w:r>
        <w:rPr>
          <w:rFonts w:ascii="Arial" w:hAnsi="Arial" w:cs="Arial"/>
          <w:vanish/>
          <w:color w:val="111111"/>
        </w:rPr>
        <w:t>分类相关</w:t>
      </w:r>
      <w:r>
        <w:rPr>
          <w:rFonts w:ascii="Arial" w:hAnsi="Arial" w:cs="Arial"/>
          <w:vanish/>
          <w:color w:val="111111"/>
        </w:rPr>
        <w:t xml:space="preserve"> </w:t>
      </w:r>
    </w:p>
    <w:p w14:paraId="71CB5656" w14:textId="77777777" w:rsidR="00974B27" w:rsidRDefault="00974B27" w:rsidP="00974B27">
      <w:pPr>
        <w:jc w:val="right"/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vanish/>
          <w:color w:val="111111"/>
          <w:sz w:val="21"/>
          <w:szCs w:val="21"/>
        </w:rPr>
        <w:t>共有文献</w:t>
      </w:r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  <w:r>
        <w:rPr>
          <w:rFonts w:ascii="Arial" w:hAnsi="Arial" w:cs="Arial"/>
          <w:vanish/>
          <w:color w:val="FF0000"/>
          <w:sz w:val="21"/>
          <w:szCs w:val="21"/>
        </w:rPr>
        <w:t>302</w:t>
      </w:r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  <w:r>
        <w:rPr>
          <w:rFonts w:ascii="Arial" w:hAnsi="Arial" w:cs="Arial"/>
          <w:vanish/>
          <w:color w:val="111111"/>
          <w:sz w:val="21"/>
          <w:szCs w:val="21"/>
        </w:rPr>
        <w:t>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974B27" w14:paraId="6D2ADAD9" w14:textId="77777777" w:rsidTr="00717D3E">
        <w:trPr>
          <w:hidden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20BC26D7" w14:textId="77777777" w:rsidR="00974B27" w:rsidRDefault="00974B27" w:rsidP="00717D3E">
            <w:pPr>
              <w:jc w:val="right"/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</w:p>
        </w:tc>
      </w:tr>
    </w:tbl>
    <w:p w14:paraId="201AA162" w14:textId="77777777" w:rsidR="00974B27" w:rsidRDefault="00974B27" w:rsidP="00974B27">
      <w:pPr>
        <w:jc w:val="right"/>
        <w:rPr>
          <w:rFonts w:ascii="Arial" w:hAnsi="Arial" w:cs="Arial"/>
          <w:vanish/>
          <w:color w:val="111111"/>
        </w:rPr>
      </w:pPr>
      <w:hyperlink r:id="rId11" w:history="1">
        <w:r>
          <w:rPr>
            <w:rStyle w:val="a3"/>
            <w:rFonts w:ascii="Arial" w:hAnsi="Arial" w:cs="Arial"/>
            <w:vanish/>
          </w:rPr>
          <w:t>查看更多</w:t>
        </w:r>
      </w:hyperlink>
      <w:r>
        <w:rPr>
          <w:rFonts w:ascii="Arial" w:hAnsi="Arial" w:cs="Arial"/>
          <w:vanish/>
          <w:color w:val="11111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974B27" w14:paraId="032F1D49" w14:textId="77777777" w:rsidTr="00717D3E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8ADEB78" w14:textId="77777777" w:rsidR="00974B27" w:rsidRDefault="00974B27" w:rsidP="00717D3E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旧厂改造类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761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  <w:tr w:rsidR="00974B27" w14:paraId="5E6DDAD0" w14:textId="77777777" w:rsidTr="00717D3E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1831FF5" w14:textId="77777777" w:rsidR="00974B27" w:rsidRDefault="00974B27" w:rsidP="00717D3E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旧城改造类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776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  <w:tr w:rsidR="00974B27" w14:paraId="68A54998" w14:textId="77777777" w:rsidTr="00717D3E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770421E" w14:textId="77777777" w:rsidR="00974B27" w:rsidRDefault="00974B27" w:rsidP="00717D3E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旧村改造类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899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</w:tbl>
    <w:p w14:paraId="28053E1D" w14:textId="77777777" w:rsidR="00974B27" w:rsidRDefault="00974B27" w:rsidP="00974B27">
      <w:pPr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vanish/>
          <w:color w:val="111111"/>
          <w:sz w:val="21"/>
          <w:szCs w:val="21"/>
        </w:rPr>
        <w:t xml:space="preserve">× </w:t>
      </w:r>
    </w:p>
    <w:p w14:paraId="6C2C959B" w14:textId="77777777" w:rsidR="00974B27" w:rsidRDefault="00974B27" w:rsidP="00974B27">
      <w:pPr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noProof/>
          <w:vanish/>
          <w:color w:val="111111"/>
          <w:sz w:val="21"/>
          <w:szCs w:val="21"/>
        </w:rPr>
        <w:drawing>
          <wp:inline distT="0" distB="0" distL="0" distR="0" wp14:anchorId="5FEC3722" wp14:editId="040BEDA5">
            <wp:extent cx="406349" cy="406349"/>
            <wp:effectExtent l="0" t="0" r="0" b="0"/>
            <wp:docPr id="5" name="图片 5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9" cy="40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488F" w14:textId="77777777" w:rsidR="00974B27" w:rsidRDefault="00974B27" w:rsidP="00974B27">
      <w:pPr>
        <w:shd w:val="clear" w:color="auto" w:fill="F5F5F5"/>
        <w:jc w:val="right"/>
        <w:rPr>
          <w:rFonts w:ascii="Arial" w:hAnsi="Arial" w:cs="Arial"/>
          <w:vanish/>
          <w:color w:val="111111"/>
          <w:sz w:val="21"/>
          <w:szCs w:val="21"/>
        </w:rPr>
      </w:pPr>
      <w:hyperlink w:history="1">
        <w:r>
          <w:rPr>
            <w:rStyle w:val="a3"/>
            <w:rFonts w:ascii="Arial" w:hAnsi="Arial" w:cs="Arial"/>
            <w:vanish/>
            <w:sz w:val="21"/>
            <w:szCs w:val="21"/>
          </w:rPr>
          <w:t>关闭</w:t>
        </w:r>
      </w:hyperlink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</w:p>
    <w:p w14:paraId="59104321" w14:textId="77777777" w:rsidR="00974B27" w:rsidRDefault="00974B27" w:rsidP="00974B27">
      <w:r>
        <w:rPr>
          <w:rFonts w:ascii="Arial" w:hAnsi="Arial" w:cs="Arial"/>
          <w:vanish/>
          <w:color w:val="111111"/>
          <w:sz w:val="21"/>
          <w:szCs w:val="21"/>
        </w:rPr>
        <w:pict w14:anchorId="7F3CD2D0"/>
      </w:r>
      <w:r>
        <w:rPr>
          <w:rFonts w:ascii="Arial" w:hAnsi="Arial" w:cs="Arial"/>
          <w:vanish/>
          <w:color w:val="111111"/>
          <w:sz w:val="21"/>
          <w:szCs w:val="21"/>
        </w:rPr>
        <w:pict w14:anchorId="5B7081C1"/>
      </w:r>
    </w:p>
    <w:p w14:paraId="1C5E3899" w14:textId="77777777" w:rsidR="00B3401F" w:rsidRDefault="00B3401F"/>
    <w:sectPr w:rsidR="00B3401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27"/>
    <w:rsid w:val="002A27D7"/>
    <w:rsid w:val="00974B27"/>
    <w:rsid w:val="00B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7FE9"/>
  <w15:chartTrackingRefBased/>
  <w15:docId w15:val="{3A90C396-8F71-4F25-BDEF-322192B1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B27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74B27"/>
    <w:pPr>
      <w:spacing w:after="150"/>
      <w:outlineLvl w:val="2"/>
    </w:pPr>
    <w:rPr>
      <w:rFonts w:ascii="inherit" w:hAnsi="inherit"/>
      <w:b/>
      <w:bCs/>
      <w:color w:val="111111"/>
      <w:sz w:val="30"/>
      <w:szCs w:val="30"/>
    </w:rPr>
  </w:style>
  <w:style w:type="paragraph" w:styleId="4">
    <w:name w:val="heading 4"/>
    <w:basedOn w:val="a"/>
    <w:link w:val="40"/>
    <w:uiPriority w:val="9"/>
    <w:qFormat/>
    <w:rsid w:val="00974B27"/>
    <w:pPr>
      <w:spacing w:after="150"/>
      <w:outlineLvl w:val="3"/>
    </w:pPr>
    <w:rPr>
      <w:rFonts w:ascii="inherit" w:hAnsi="inherit"/>
      <w:b/>
      <w:bCs/>
      <w:color w:val="11111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74B27"/>
    <w:rPr>
      <w:rFonts w:ascii="inherit" w:eastAsia="宋体" w:hAnsi="inherit" w:cs="宋体"/>
      <w:b/>
      <w:bCs/>
      <w:color w:val="111111"/>
      <w:kern w:val="0"/>
      <w:sz w:val="30"/>
      <w:szCs w:val="30"/>
    </w:rPr>
  </w:style>
  <w:style w:type="character" w:customStyle="1" w:styleId="40">
    <w:name w:val="标题 4 字符"/>
    <w:basedOn w:val="a0"/>
    <w:link w:val="4"/>
    <w:uiPriority w:val="9"/>
    <w:rsid w:val="00974B27"/>
    <w:rPr>
      <w:rFonts w:ascii="inherit" w:eastAsia="宋体" w:hAnsi="inherit" w:cs="宋体"/>
      <w:b/>
      <w:bCs/>
      <w:color w:val="111111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74B27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p1">
    <w:name w:val="p1"/>
    <w:basedOn w:val="a"/>
    <w:rsid w:val="00974B27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p2">
    <w:name w:val="p2"/>
    <w:basedOn w:val="a"/>
    <w:rsid w:val="00974B2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4">
    <w:name w:val="p4"/>
    <w:basedOn w:val="a"/>
    <w:rsid w:val="00974B27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5">
    <w:name w:val="p5"/>
    <w:basedOn w:val="a"/>
    <w:rsid w:val="00974B27"/>
    <w:pPr>
      <w:spacing w:before="100" w:beforeAutospacing="1" w:after="100" w:afterAutospacing="1"/>
      <w:ind w:firstLine="480"/>
      <w:jc w:val="both"/>
    </w:pPr>
    <w:rPr>
      <w:sz w:val="28"/>
      <w:szCs w:val="28"/>
    </w:rPr>
  </w:style>
  <w:style w:type="paragraph" w:customStyle="1" w:styleId="p6">
    <w:name w:val="p6"/>
    <w:basedOn w:val="a"/>
    <w:rsid w:val="00974B2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p7">
    <w:name w:val="p7"/>
    <w:basedOn w:val="a"/>
    <w:rsid w:val="00974B27"/>
    <w:pPr>
      <w:spacing w:before="100" w:beforeAutospacing="1" w:after="100" w:afterAutospacing="1"/>
      <w:ind w:firstLine="480"/>
    </w:pPr>
    <w:rPr>
      <w:sz w:val="28"/>
      <w:szCs w:val="28"/>
    </w:rPr>
  </w:style>
  <w:style w:type="character" w:customStyle="1" w:styleId="s11">
    <w:name w:val="s11"/>
    <w:basedOn w:val="a0"/>
    <w:rsid w:val="00974B2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B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974B27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B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974B2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/advs/mq?dbc=&#27861;&#24459;&#27861;&#35268;&amp;c2=&#26087;&#22478;&#25913;&#36896;&amp;pgs=12&amp;pg=1&amp;id=1735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/advs/mq?dbc=&#27861;&#24459;&#27861;&#35268;&amp;c2=&#26087;&#21378;&#25913;&#36896;&amp;pgs=12&amp;pg=1&amp;id=17358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%09getRelated('&#26087;&#21378;&#25913;&#36896;&#65292;&#26087;&#22478;&#25913;&#36896;&#65292;&#26087;&#26449;&#25913;&#36896;',%20,%20'&#19996;&#22353;&#38215;&#25919;&#24220;&#20027;&#23548;&#30340;&#8220;&#19977;&#26087;&#8221;&#25913;&#36896;&#29992;&#22320;&#25910;&#30410;&#20998;&#37197;&#32454;&#21017;','173588')" TargetMode="External"/><Relationship Id="rId5" Type="http://schemas.openxmlformats.org/officeDocument/2006/relationships/image" Target="media/image1.wmf"/><Relationship Id="rId15" Type="http://schemas.openxmlformats.org/officeDocument/2006/relationships/image" Target="http://law168.com.cn/static/olaw/img/logo.png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javascript:getMyComments(173588)" TargetMode="External"/><Relationship Id="rId9" Type="http://schemas.openxmlformats.org/officeDocument/2006/relationships/image" Target="media/image3.wmf"/><Relationship Id="rId14" Type="http://schemas.openxmlformats.org/officeDocument/2006/relationships/hyperlink" Target="/advs/mq?dbc=&#27861;&#24459;&#27861;&#35268;&amp;c2=&#26087;&#26449;&#25913;&#36896;&amp;pgs=12&amp;pg=1&amp;id=17358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Whong</dc:creator>
  <cp:keywords/>
  <dc:description/>
  <cp:lastModifiedBy>R Whong</cp:lastModifiedBy>
  <cp:revision>1</cp:revision>
  <dcterms:created xsi:type="dcterms:W3CDTF">2020-07-20T14:31:00Z</dcterms:created>
  <dcterms:modified xsi:type="dcterms:W3CDTF">2020-07-20T14:32:00Z</dcterms:modified>
</cp:coreProperties>
</file>