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46B" w:rsidRDefault="00D5746B" w:rsidP="00D5746B">
      <w:pPr>
        <w:pStyle w:val="p1"/>
        <w:rPr>
          <w:rFonts w:ascii="Arial" w:hAnsi="Arial" w:cs="Arial"/>
          <w:color w:val="111111"/>
          <w:lang/>
        </w:rPr>
      </w:pPr>
      <w:bookmarkStart w:id="0" w:name="OLE_LINK1"/>
      <w:r>
        <w:rPr>
          <w:rStyle w:val="s11"/>
          <w:rFonts w:ascii="Arial" w:hAnsi="Arial" w:cs="Arial"/>
          <w:color w:val="428BCA"/>
          <w:lang/>
        </w:rPr>
        <w:t>东莞市更新单元容积率计算指引（东自然资〔</w:t>
      </w:r>
      <w:r>
        <w:rPr>
          <w:rStyle w:val="s11"/>
          <w:rFonts w:ascii="Arial" w:hAnsi="Arial" w:cs="Arial"/>
          <w:color w:val="428BCA"/>
          <w:lang/>
        </w:rPr>
        <w:t>2019</w:t>
      </w:r>
      <w:r>
        <w:rPr>
          <w:rStyle w:val="s11"/>
          <w:rFonts w:ascii="Arial" w:hAnsi="Arial" w:cs="Arial"/>
          <w:color w:val="428BCA"/>
          <w:lang/>
        </w:rPr>
        <w:t>〕</w:t>
      </w:r>
      <w:r>
        <w:rPr>
          <w:rStyle w:val="s11"/>
          <w:rFonts w:ascii="Arial" w:hAnsi="Arial" w:cs="Arial"/>
          <w:color w:val="428BCA"/>
          <w:lang/>
        </w:rPr>
        <w:t>144</w:t>
      </w:r>
      <w:r>
        <w:rPr>
          <w:rStyle w:val="s11"/>
          <w:rFonts w:ascii="Arial" w:hAnsi="Arial" w:cs="Arial"/>
          <w:color w:val="428BCA"/>
          <w:lang/>
        </w:rPr>
        <w:t>号附件</w:t>
      </w:r>
      <w:r>
        <w:rPr>
          <w:rStyle w:val="s11"/>
          <w:rFonts w:ascii="Arial" w:hAnsi="Arial" w:cs="Arial"/>
          <w:color w:val="428BCA"/>
          <w:lang/>
        </w:rPr>
        <w:t>1</w:t>
      </w:r>
      <w:r>
        <w:rPr>
          <w:rStyle w:val="s11"/>
          <w:rFonts w:ascii="Arial" w:hAnsi="Arial" w:cs="Arial"/>
          <w:color w:val="428BCA"/>
          <w:lang/>
        </w:rPr>
        <w:t>）</w:t>
      </w:r>
      <w:bookmarkEnd w:id="0"/>
    </w:p>
    <w:p w:rsidR="00D5746B" w:rsidRDefault="00D5746B" w:rsidP="00D5746B">
      <w:pPr>
        <w:pStyle w:val="p3"/>
        <w:rPr>
          <w:rFonts w:ascii="Arial" w:hAnsi="Arial" w:cs="Arial"/>
          <w:color w:val="111111"/>
          <w:lang/>
        </w:rPr>
      </w:pPr>
      <w:r>
        <w:rPr>
          <w:rStyle w:val="s21"/>
          <w:rFonts w:ascii="Arial" w:hAnsi="Arial" w:cs="Arial"/>
          <w:lang/>
        </w:rPr>
        <w:t>目录</w:t>
      </w:r>
    </w:p>
    <w:p w:rsidR="00D5746B" w:rsidRDefault="00D5746B" w:rsidP="00D5746B">
      <w:pPr>
        <w:pStyle w:val="p4"/>
        <w:rPr>
          <w:rFonts w:ascii="Arial" w:hAnsi="Arial" w:cs="Arial"/>
          <w:color w:val="111111"/>
          <w:lang/>
        </w:rPr>
      </w:pPr>
      <w:r>
        <w:rPr>
          <w:rStyle w:val="s31"/>
          <w:rFonts w:ascii="Arial" w:hAnsi="Arial" w:cs="Arial"/>
          <w:lang/>
        </w:rPr>
        <w:t>前言</w:t>
      </w:r>
    </w:p>
    <w:p w:rsidR="00D5746B" w:rsidRDefault="00D5746B" w:rsidP="00D5746B">
      <w:pPr>
        <w:pStyle w:val="p4"/>
        <w:rPr>
          <w:rFonts w:ascii="Arial" w:hAnsi="Arial" w:cs="Arial"/>
          <w:color w:val="111111"/>
          <w:lang/>
        </w:rPr>
      </w:pPr>
      <w:r>
        <w:rPr>
          <w:rStyle w:val="s31"/>
          <w:rFonts w:ascii="Arial" w:hAnsi="Arial" w:cs="Arial"/>
          <w:lang/>
        </w:rPr>
        <w:t>一、名词说明</w:t>
      </w:r>
    </w:p>
    <w:p w:rsidR="00D5746B" w:rsidRDefault="00D5746B" w:rsidP="00D5746B">
      <w:pPr>
        <w:pStyle w:val="p4"/>
        <w:rPr>
          <w:rFonts w:ascii="Arial" w:hAnsi="Arial" w:cs="Arial"/>
          <w:color w:val="111111"/>
          <w:lang/>
        </w:rPr>
      </w:pPr>
      <w:r>
        <w:rPr>
          <w:rStyle w:val="s31"/>
          <w:rFonts w:ascii="Arial" w:hAnsi="Arial" w:cs="Arial"/>
          <w:lang/>
        </w:rPr>
        <w:t>二、容积率计算方</w:t>
      </w:r>
    </w:p>
    <w:p w:rsidR="00D5746B" w:rsidRDefault="00D5746B" w:rsidP="00D5746B">
      <w:pPr>
        <w:pStyle w:val="p4"/>
        <w:rPr>
          <w:rFonts w:ascii="Arial" w:hAnsi="Arial" w:cs="Arial"/>
          <w:color w:val="111111"/>
          <w:lang/>
        </w:rPr>
      </w:pPr>
      <w:r>
        <w:rPr>
          <w:rStyle w:val="s31"/>
          <w:rFonts w:ascii="Arial" w:hAnsi="Arial" w:cs="Arial"/>
          <w:lang/>
        </w:rPr>
        <w:t>(</w:t>
      </w:r>
      <w:proofErr w:type="gramStart"/>
      <w:r>
        <w:rPr>
          <w:rStyle w:val="s31"/>
          <w:rFonts w:ascii="Arial" w:hAnsi="Arial" w:cs="Arial"/>
          <w:lang/>
        </w:rPr>
        <w:t>一</w:t>
      </w:r>
      <w:proofErr w:type="gramEnd"/>
      <w:r>
        <w:rPr>
          <w:rStyle w:val="s31"/>
          <w:rFonts w:ascii="Arial" w:hAnsi="Arial" w:cs="Arial"/>
          <w:lang/>
        </w:rPr>
        <w:t>)</w:t>
      </w:r>
      <w:r>
        <w:rPr>
          <w:rStyle w:val="s31"/>
          <w:rFonts w:ascii="Arial" w:hAnsi="Arial" w:cs="Arial"/>
          <w:lang/>
        </w:rPr>
        <w:t>单元划定阶段更新单元总建筑规模计算</w:t>
      </w:r>
    </w:p>
    <w:p w:rsidR="00D5746B" w:rsidRDefault="00D5746B" w:rsidP="00D5746B">
      <w:pPr>
        <w:pStyle w:val="p4"/>
        <w:rPr>
          <w:rFonts w:ascii="Arial" w:hAnsi="Arial" w:cs="Arial"/>
          <w:color w:val="111111"/>
          <w:lang/>
        </w:rPr>
      </w:pPr>
      <w:r>
        <w:rPr>
          <w:rStyle w:val="s31"/>
          <w:rFonts w:ascii="Arial" w:hAnsi="Arial" w:cs="Arial"/>
          <w:lang/>
        </w:rPr>
        <w:t>(</w:t>
      </w:r>
      <w:r>
        <w:rPr>
          <w:rStyle w:val="s31"/>
          <w:rFonts w:ascii="Arial" w:hAnsi="Arial" w:cs="Arial"/>
          <w:lang/>
        </w:rPr>
        <w:t>二</w:t>
      </w:r>
      <w:r>
        <w:rPr>
          <w:rStyle w:val="s31"/>
          <w:rFonts w:ascii="Arial" w:hAnsi="Arial" w:cs="Arial"/>
          <w:lang/>
        </w:rPr>
        <w:t>)</w:t>
      </w:r>
      <w:r>
        <w:rPr>
          <w:rStyle w:val="s31"/>
          <w:rFonts w:ascii="Arial" w:hAnsi="Arial" w:cs="Arial"/>
          <w:lang/>
        </w:rPr>
        <w:t>前期研究阶段更新地块建筑规模计算</w:t>
      </w:r>
    </w:p>
    <w:p w:rsidR="00D5746B" w:rsidRDefault="00D5746B" w:rsidP="00D5746B">
      <w:pPr>
        <w:pStyle w:val="p4"/>
        <w:rPr>
          <w:rFonts w:ascii="Arial" w:hAnsi="Arial" w:cs="Arial"/>
          <w:color w:val="111111"/>
          <w:lang/>
        </w:rPr>
      </w:pPr>
      <w:r>
        <w:rPr>
          <w:rStyle w:val="s31"/>
          <w:rFonts w:ascii="Arial" w:hAnsi="Arial" w:cs="Arial"/>
          <w:lang/>
        </w:rPr>
        <w:t>(</w:t>
      </w:r>
      <w:r>
        <w:rPr>
          <w:rStyle w:val="s31"/>
          <w:rFonts w:ascii="Arial" w:hAnsi="Arial" w:cs="Arial"/>
          <w:lang/>
        </w:rPr>
        <w:t>三</w:t>
      </w:r>
      <w:r>
        <w:rPr>
          <w:rStyle w:val="s31"/>
          <w:rFonts w:ascii="Arial" w:hAnsi="Arial" w:cs="Arial"/>
          <w:lang/>
        </w:rPr>
        <w:t>)</w:t>
      </w:r>
      <w:r>
        <w:rPr>
          <w:rStyle w:val="s31"/>
          <w:rFonts w:ascii="Arial" w:hAnsi="Arial" w:cs="Arial"/>
          <w:lang/>
        </w:rPr>
        <w:t>关于基础建筑規模的規定</w:t>
      </w:r>
    </w:p>
    <w:p w:rsidR="00D5746B" w:rsidRDefault="00D5746B" w:rsidP="00D5746B">
      <w:pPr>
        <w:pStyle w:val="p4"/>
        <w:rPr>
          <w:rFonts w:ascii="Arial" w:hAnsi="Arial" w:cs="Arial"/>
          <w:color w:val="111111"/>
          <w:lang/>
        </w:rPr>
      </w:pPr>
      <w:r>
        <w:rPr>
          <w:rStyle w:val="s31"/>
          <w:rFonts w:ascii="Arial" w:hAnsi="Arial" w:cs="Arial"/>
          <w:lang/>
        </w:rPr>
        <w:t>三、基准容积</w:t>
      </w:r>
    </w:p>
    <w:p w:rsidR="00D5746B" w:rsidRDefault="00D5746B" w:rsidP="00D5746B">
      <w:pPr>
        <w:pStyle w:val="p4"/>
        <w:rPr>
          <w:rFonts w:ascii="Arial" w:hAnsi="Arial" w:cs="Arial"/>
          <w:color w:val="111111"/>
          <w:lang/>
        </w:rPr>
      </w:pPr>
      <w:r>
        <w:rPr>
          <w:rStyle w:val="s31"/>
          <w:rFonts w:ascii="Arial" w:hAnsi="Arial" w:cs="Arial"/>
          <w:lang/>
        </w:rPr>
        <w:t>(</w:t>
      </w:r>
      <w:proofErr w:type="gramStart"/>
      <w:r>
        <w:rPr>
          <w:rStyle w:val="s31"/>
          <w:rFonts w:ascii="Arial" w:hAnsi="Arial" w:cs="Arial"/>
          <w:lang/>
        </w:rPr>
        <w:t>一</w:t>
      </w:r>
      <w:proofErr w:type="gramEnd"/>
      <w:r>
        <w:rPr>
          <w:rStyle w:val="s31"/>
          <w:rFonts w:ascii="Arial" w:hAnsi="Arial" w:cs="Arial"/>
          <w:lang/>
        </w:rPr>
        <w:t>)</w:t>
      </w:r>
      <w:r>
        <w:rPr>
          <w:rStyle w:val="s31"/>
          <w:rFonts w:ascii="Arial" w:hAnsi="Arial" w:cs="Arial"/>
          <w:lang/>
        </w:rPr>
        <w:t>居住用地</w:t>
      </w:r>
    </w:p>
    <w:p w:rsidR="00D5746B" w:rsidRDefault="00D5746B" w:rsidP="00D5746B">
      <w:pPr>
        <w:pStyle w:val="p4"/>
        <w:rPr>
          <w:rFonts w:ascii="Arial" w:hAnsi="Arial" w:cs="Arial"/>
          <w:color w:val="111111"/>
          <w:lang/>
        </w:rPr>
      </w:pPr>
      <w:r>
        <w:rPr>
          <w:rStyle w:val="s31"/>
          <w:rFonts w:ascii="Arial" w:hAnsi="Arial" w:cs="Arial"/>
          <w:lang/>
        </w:rPr>
        <w:t>(</w:t>
      </w:r>
      <w:r>
        <w:rPr>
          <w:rStyle w:val="s31"/>
          <w:rFonts w:ascii="Arial" w:hAnsi="Arial" w:cs="Arial"/>
          <w:lang/>
        </w:rPr>
        <w:t>二</w:t>
      </w:r>
      <w:r>
        <w:rPr>
          <w:rStyle w:val="s31"/>
          <w:rFonts w:ascii="Arial" w:hAnsi="Arial" w:cs="Arial"/>
          <w:lang/>
        </w:rPr>
        <w:t>)</w:t>
      </w:r>
      <w:r>
        <w:rPr>
          <w:rStyle w:val="s31"/>
          <w:rFonts w:ascii="Arial" w:hAnsi="Arial" w:cs="Arial"/>
          <w:lang/>
        </w:rPr>
        <w:t>商业服务业用</w:t>
      </w:r>
    </w:p>
    <w:p w:rsidR="00D5746B" w:rsidRDefault="00D5746B" w:rsidP="00D5746B">
      <w:pPr>
        <w:pStyle w:val="p4"/>
        <w:rPr>
          <w:rFonts w:ascii="Arial" w:hAnsi="Arial" w:cs="Arial"/>
          <w:color w:val="111111"/>
          <w:lang/>
        </w:rPr>
      </w:pPr>
      <w:r>
        <w:rPr>
          <w:rStyle w:val="s31"/>
          <w:rFonts w:ascii="Arial" w:hAnsi="Arial" w:cs="Arial"/>
          <w:lang/>
        </w:rPr>
        <w:t>(</w:t>
      </w:r>
      <w:r>
        <w:rPr>
          <w:rStyle w:val="s31"/>
          <w:rFonts w:ascii="Arial" w:hAnsi="Arial" w:cs="Arial"/>
          <w:lang/>
        </w:rPr>
        <w:t>三</w:t>
      </w:r>
      <w:r>
        <w:rPr>
          <w:rStyle w:val="s31"/>
          <w:rFonts w:ascii="Arial" w:hAnsi="Arial" w:cs="Arial"/>
          <w:lang/>
        </w:rPr>
        <w:t>)</w:t>
      </w:r>
      <w:r>
        <w:rPr>
          <w:rStyle w:val="s31"/>
          <w:rFonts w:ascii="Arial" w:hAnsi="Arial" w:cs="Arial"/>
          <w:lang/>
        </w:rPr>
        <w:t>新型产业</w:t>
      </w:r>
      <w:r>
        <w:rPr>
          <w:rStyle w:val="s31"/>
          <w:rFonts w:ascii="Arial" w:hAnsi="Arial" w:cs="Arial"/>
          <w:lang/>
        </w:rPr>
        <w:t>(M0)</w:t>
      </w:r>
      <w:r>
        <w:rPr>
          <w:rStyle w:val="s31"/>
          <w:rFonts w:ascii="Arial" w:hAnsi="Arial" w:cs="Arial"/>
          <w:lang/>
        </w:rPr>
        <w:t>用地</w:t>
      </w:r>
    </w:p>
    <w:p w:rsidR="00D5746B" w:rsidRDefault="00D5746B" w:rsidP="00D5746B">
      <w:pPr>
        <w:pStyle w:val="p4"/>
        <w:rPr>
          <w:rFonts w:ascii="Arial" w:hAnsi="Arial" w:cs="Arial"/>
          <w:color w:val="111111"/>
          <w:lang/>
        </w:rPr>
      </w:pPr>
      <w:r>
        <w:rPr>
          <w:rStyle w:val="s31"/>
          <w:rFonts w:ascii="Arial" w:hAnsi="Arial" w:cs="Arial"/>
          <w:lang/>
        </w:rPr>
        <w:t>四、修正系数</w:t>
      </w:r>
    </w:p>
    <w:p w:rsidR="00D5746B" w:rsidRDefault="00D5746B" w:rsidP="00D5746B">
      <w:pPr>
        <w:pStyle w:val="p4"/>
        <w:rPr>
          <w:rFonts w:ascii="Arial" w:hAnsi="Arial" w:cs="Arial"/>
          <w:color w:val="111111"/>
          <w:lang/>
        </w:rPr>
      </w:pPr>
      <w:r>
        <w:rPr>
          <w:rStyle w:val="s31"/>
          <w:rFonts w:ascii="Arial" w:hAnsi="Arial" w:cs="Arial"/>
          <w:lang/>
        </w:rPr>
        <w:t>(</w:t>
      </w:r>
      <w:proofErr w:type="gramStart"/>
      <w:r>
        <w:rPr>
          <w:rStyle w:val="s31"/>
          <w:rFonts w:ascii="Arial" w:hAnsi="Arial" w:cs="Arial"/>
          <w:lang/>
        </w:rPr>
        <w:t>一</w:t>
      </w:r>
      <w:proofErr w:type="gramEnd"/>
      <w:r>
        <w:rPr>
          <w:rStyle w:val="s31"/>
          <w:rFonts w:ascii="Arial" w:hAnsi="Arial" w:cs="Arial"/>
          <w:lang/>
        </w:rPr>
        <w:t>)</w:t>
      </w:r>
      <w:r>
        <w:rPr>
          <w:rStyle w:val="s31"/>
          <w:rFonts w:ascii="Arial" w:hAnsi="Arial" w:cs="Arial"/>
          <w:lang/>
        </w:rPr>
        <w:t>组团特征修正系</w:t>
      </w:r>
    </w:p>
    <w:p w:rsidR="00D5746B" w:rsidRDefault="00D5746B" w:rsidP="00D5746B">
      <w:pPr>
        <w:pStyle w:val="p4"/>
        <w:rPr>
          <w:rFonts w:ascii="Arial" w:hAnsi="Arial" w:cs="Arial"/>
          <w:color w:val="111111"/>
          <w:lang/>
        </w:rPr>
      </w:pPr>
      <w:r>
        <w:rPr>
          <w:rStyle w:val="s31"/>
          <w:rFonts w:ascii="Arial" w:hAnsi="Arial" w:cs="Arial"/>
          <w:lang/>
        </w:rPr>
        <w:t>(</w:t>
      </w:r>
      <w:r>
        <w:rPr>
          <w:rStyle w:val="s31"/>
          <w:rFonts w:ascii="Arial" w:hAnsi="Arial" w:cs="Arial"/>
          <w:lang/>
        </w:rPr>
        <w:t>二</w:t>
      </w:r>
      <w:r>
        <w:rPr>
          <w:rStyle w:val="s31"/>
          <w:rFonts w:ascii="Arial" w:hAnsi="Arial" w:cs="Arial"/>
          <w:lang/>
        </w:rPr>
        <w:t>)</w:t>
      </w:r>
      <w:r>
        <w:rPr>
          <w:rStyle w:val="s31"/>
          <w:rFonts w:ascii="Arial" w:hAnsi="Arial" w:cs="Arial"/>
          <w:lang/>
        </w:rPr>
        <w:t>地块规模修正系</w:t>
      </w:r>
    </w:p>
    <w:p w:rsidR="00D5746B" w:rsidRDefault="00D5746B" w:rsidP="00D5746B">
      <w:pPr>
        <w:pStyle w:val="p4"/>
        <w:rPr>
          <w:rFonts w:ascii="Arial" w:hAnsi="Arial" w:cs="Arial"/>
          <w:color w:val="111111"/>
          <w:lang/>
        </w:rPr>
      </w:pPr>
      <w:r>
        <w:rPr>
          <w:rStyle w:val="s31"/>
          <w:rFonts w:ascii="Arial" w:hAnsi="Arial" w:cs="Arial"/>
          <w:lang/>
        </w:rPr>
        <w:t>(</w:t>
      </w:r>
      <w:r>
        <w:rPr>
          <w:rStyle w:val="s31"/>
          <w:rFonts w:ascii="Arial" w:hAnsi="Arial" w:cs="Arial"/>
          <w:lang/>
        </w:rPr>
        <w:t>三</w:t>
      </w:r>
      <w:r>
        <w:rPr>
          <w:rStyle w:val="s31"/>
          <w:rFonts w:ascii="Arial" w:hAnsi="Arial" w:cs="Arial"/>
          <w:lang/>
        </w:rPr>
        <w:t>)</w:t>
      </w:r>
      <w:r>
        <w:rPr>
          <w:rStyle w:val="s31"/>
          <w:rFonts w:ascii="Arial" w:hAnsi="Arial" w:cs="Arial"/>
          <w:lang/>
        </w:rPr>
        <w:t>周边道路修正系</w:t>
      </w:r>
    </w:p>
    <w:p w:rsidR="00D5746B" w:rsidRDefault="00D5746B" w:rsidP="00D5746B">
      <w:pPr>
        <w:pStyle w:val="p4"/>
        <w:rPr>
          <w:rFonts w:ascii="Arial" w:hAnsi="Arial" w:cs="Arial"/>
          <w:color w:val="111111"/>
          <w:lang/>
        </w:rPr>
      </w:pPr>
      <w:r>
        <w:rPr>
          <w:rStyle w:val="s31"/>
          <w:rFonts w:ascii="Arial" w:hAnsi="Arial" w:cs="Arial"/>
          <w:lang/>
        </w:rPr>
        <w:t>(</w:t>
      </w:r>
      <w:r>
        <w:rPr>
          <w:rStyle w:val="s31"/>
          <w:rFonts w:ascii="Arial" w:hAnsi="Arial" w:cs="Arial"/>
          <w:lang/>
        </w:rPr>
        <w:t>四</w:t>
      </w:r>
      <w:r>
        <w:rPr>
          <w:rStyle w:val="s31"/>
          <w:rFonts w:ascii="Arial" w:hAnsi="Arial" w:cs="Arial"/>
          <w:lang/>
        </w:rPr>
        <w:t>)</w:t>
      </w:r>
      <w:r>
        <w:rPr>
          <w:rStyle w:val="s31"/>
          <w:rFonts w:ascii="Arial" w:hAnsi="Arial" w:cs="Arial"/>
          <w:lang/>
        </w:rPr>
        <w:t>地铁站点修正系</w:t>
      </w:r>
    </w:p>
    <w:p w:rsidR="00D5746B" w:rsidRDefault="00D5746B" w:rsidP="00D5746B">
      <w:pPr>
        <w:pStyle w:val="p4"/>
        <w:rPr>
          <w:rFonts w:ascii="Arial" w:hAnsi="Arial" w:cs="Arial"/>
          <w:color w:val="111111"/>
          <w:lang/>
        </w:rPr>
      </w:pPr>
      <w:r>
        <w:rPr>
          <w:rStyle w:val="s31"/>
          <w:rFonts w:ascii="Arial" w:hAnsi="Arial" w:cs="Arial"/>
          <w:lang/>
        </w:rPr>
        <w:lastRenderedPageBreak/>
        <w:t>(</w:t>
      </w:r>
      <w:r>
        <w:rPr>
          <w:rStyle w:val="s31"/>
          <w:rFonts w:ascii="Arial" w:hAnsi="Arial" w:cs="Arial"/>
          <w:lang/>
        </w:rPr>
        <w:t>五</w:t>
      </w:r>
      <w:r>
        <w:rPr>
          <w:rStyle w:val="s31"/>
          <w:rFonts w:ascii="Arial" w:hAnsi="Arial" w:cs="Arial"/>
          <w:lang/>
        </w:rPr>
        <w:t>)</w:t>
      </w:r>
      <w:r>
        <w:rPr>
          <w:rStyle w:val="s31"/>
          <w:rFonts w:ascii="Arial" w:hAnsi="Arial" w:cs="Arial"/>
          <w:lang/>
        </w:rPr>
        <w:t>特别政策修正系</w:t>
      </w:r>
    </w:p>
    <w:p w:rsidR="00D5746B" w:rsidRDefault="00D5746B" w:rsidP="00D5746B">
      <w:pPr>
        <w:pStyle w:val="p4"/>
        <w:rPr>
          <w:rFonts w:ascii="Arial" w:hAnsi="Arial" w:cs="Arial"/>
          <w:color w:val="111111"/>
          <w:lang/>
        </w:rPr>
      </w:pPr>
      <w:r>
        <w:rPr>
          <w:rStyle w:val="s31"/>
          <w:rFonts w:ascii="Arial" w:hAnsi="Arial" w:cs="Arial"/>
          <w:lang/>
        </w:rPr>
        <w:t>(</w:t>
      </w:r>
      <w:r>
        <w:rPr>
          <w:rStyle w:val="s31"/>
          <w:rFonts w:ascii="Arial" w:hAnsi="Arial" w:cs="Arial"/>
          <w:lang/>
        </w:rPr>
        <w:t>六</w:t>
      </w:r>
      <w:r>
        <w:rPr>
          <w:rStyle w:val="s31"/>
          <w:rFonts w:ascii="Arial" w:hAnsi="Arial" w:cs="Arial"/>
          <w:lang/>
        </w:rPr>
        <w:t>)</w:t>
      </w:r>
      <w:r>
        <w:rPr>
          <w:rStyle w:val="s31"/>
          <w:rFonts w:ascii="Arial" w:hAnsi="Arial" w:cs="Arial"/>
          <w:lang/>
        </w:rPr>
        <w:t>修正系数的叠加</w:t>
      </w:r>
    </w:p>
    <w:p w:rsidR="00D5746B" w:rsidRDefault="00D5746B" w:rsidP="00D5746B">
      <w:pPr>
        <w:pStyle w:val="p4"/>
        <w:rPr>
          <w:rFonts w:ascii="Arial" w:hAnsi="Arial" w:cs="Arial"/>
          <w:color w:val="111111"/>
          <w:lang/>
        </w:rPr>
      </w:pPr>
      <w:r>
        <w:rPr>
          <w:rStyle w:val="s31"/>
          <w:rFonts w:ascii="Arial" w:hAnsi="Arial" w:cs="Arial"/>
          <w:lang/>
        </w:rPr>
        <w:t>五、奖励建筑面积</w:t>
      </w:r>
    </w:p>
    <w:p w:rsidR="00D5746B" w:rsidRDefault="00D5746B" w:rsidP="00D5746B">
      <w:pPr>
        <w:pStyle w:val="p4"/>
        <w:rPr>
          <w:rFonts w:ascii="Arial" w:hAnsi="Arial" w:cs="Arial"/>
          <w:color w:val="111111"/>
          <w:lang/>
        </w:rPr>
      </w:pPr>
      <w:r>
        <w:rPr>
          <w:rStyle w:val="s31"/>
          <w:rFonts w:ascii="Arial" w:hAnsi="Arial" w:cs="Arial"/>
          <w:lang/>
        </w:rPr>
        <w:t>六、补偿建筑面积</w:t>
      </w:r>
    </w:p>
    <w:p w:rsidR="00D5746B" w:rsidRDefault="00D5746B" w:rsidP="00D5746B">
      <w:pPr>
        <w:pStyle w:val="p4"/>
        <w:rPr>
          <w:rFonts w:ascii="Arial" w:hAnsi="Arial" w:cs="Arial"/>
          <w:color w:val="111111"/>
          <w:lang/>
        </w:rPr>
      </w:pPr>
      <w:r>
        <w:rPr>
          <w:rStyle w:val="s31"/>
          <w:rFonts w:ascii="Arial" w:hAnsi="Arial" w:cs="Arial"/>
          <w:lang/>
        </w:rPr>
        <w:t>七、其他说</w:t>
      </w:r>
    </w:p>
    <w:p w:rsidR="00D5746B" w:rsidRDefault="00D5746B" w:rsidP="00D5746B">
      <w:pPr>
        <w:pStyle w:val="p4"/>
        <w:rPr>
          <w:rFonts w:ascii="Arial" w:hAnsi="Arial" w:cs="Arial"/>
          <w:color w:val="111111"/>
          <w:lang/>
        </w:rPr>
      </w:pPr>
      <w:r>
        <w:rPr>
          <w:rStyle w:val="s31"/>
          <w:rFonts w:ascii="Arial" w:hAnsi="Arial" w:cs="Arial"/>
          <w:lang/>
        </w:rPr>
        <w:t>(</w:t>
      </w:r>
      <w:proofErr w:type="gramStart"/>
      <w:r>
        <w:rPr>
          <w:rStyle w:val="s31"/>
          <w:rFonts w:ascii="Arial" w:hAnsi="Arial" w:cs="Arial"/>
          <w:lang/>
        </w:rPr>
        <w:t>一</w:t>
      </w:r>
      <w:proofErr w:type="gramEnd"/>
      <w:r>
        <w:rPr>
          <w:rStyle w:val="s31"/>
          <w:rFonts w:ascii="Arial" w:hAnsi="Arial" w:cs="Arial"/>
          <w:lang/>
        </w:rPr>
        <w:t>)</w:t>
      </w:r>
      <w:r>
        <w:rPr>
          <w:rStyle w:val="s31"/>
          <w:rFonts w:ascii="Arial" w:hAnsi="Arial" w:cs="Arial"/>
          <w:lang/>
        </w:rPr>
        <w:t>普通工业用地和仓储用</w:t>
      </w:r>
    </w:p>
    <w:p w:rsidR="00D5746B" w:rsidRDefault="00D5746B" w:rsidP="00D5746B">
      <w:pPr>
        <w:pStyle w:val="p4"/>
        <w:rPr>
          <w:rFonts w:ascii="Arial" w:hAnsi="Arial" w:cs="Arial"/>
          <w:color w:val="111111"/>
          <w:lang/>
        </w:rPr>
      </w:pPr>
      <w:r>
        <w:rPr>
          <w:rStyle w:val="s31"/>
          <w:rFonts w:ascii="Arial" w:hAnsi="Arial" w:cs="Arial"/>
          <w:lang/>
        </w:rPr>
        <w:t>(</w:t>
      </w:r>
      <w:r>
        <w:rPr>
          <w:rStyle w:val="s31"/>
          <w:rFonts w:ascii="Arial" w:hAnsi="Arial" w:cs="Arial"/>
          <w:lang/>
        </w:rPr>
        <w:t>二</w:t>
      </w:r>
      <w:r>
        <w:rPr>
          <w:rStyle w:val="s31"/>
          <w:rFonts w:ascii="Arial" w:hAnsi="Arial" w:cs="Arial"/>
          <w:lang/>
        </w:rPr>
        <w:t>)</w:t>
      </w:r>
      <w:r>
        <w:rPr>
          <w:rStyle w:val="s31"/>
          <w:rFonts w:ascii="Arial" w:hAnsi="Arial" w:cs="Arial"/>
          <w:lang/>
        </w:rPr>
        <w:t>新型产业用地</w:t>
      </w:r>
      <w:r>
        <w:rPr>
          <w:rStyle w:val="s31"/>
          <w:rFonts w:ascii="Arial" w:hAnsi="Arial" w:cs="Arial"/>
          <w:lang/>
        </w:rPr>
        <w:t>(M0)</w:t>
      </w:r>
    </w:p>
    <w:p w:rsidR="00D5746B" w:rsidRDefault="00D5746B" w:rsidP="00D5746B">
      <w:pPr>
        <w:pStyle w:val="p4"/>
        <w:rPr>
          <w:rFonts w:ascii="Arial" w:hAnsi="Arial" w:cs="Arial"/>
          <w:color w:val="111111"/>
          <w:lang/>
        </w:rPr>
      </w:pPr>
      <w:r>
        <w:rPr>
          <w:rStyle w:val="s31"/>
          <w:rFonts w:ascii="Arial" w:hAnsi="Arial" w:cs="Arial"/>
          <w:lang/>
        </w:rPr>
        <w:t>(</w:t>
      </w:r>
      <w:r>
        <w:rPr>
          <w:rStyle w:val="s31"/>
          <w:rFonts w:ascii="Arial" w:hAnsi="Arial" w:cs="Arial"/>
          <w:lang/>
        </w:rPr>
        <w:t>三</w:t>
      </w:r>
      <w:r>
        <w:rPr>
          <w:rStyle w:val="s31"/>
          <w:rFonts w:ascii="Arial" w:hAnsi="Arial" w:cs="Arial"/>
          <w:lang/>
        </w:rPr>
        <w:t>)</w:t>
      </w:r>
      <w:r>
        <w:rPr>
          <w:rStyle w:val="s31"/>
          <w:rFonts w:ascii="Arial" w:hAnsi="Arial" w:cs="Arial"/>
          <w:lang/>
        </w:rPr>
        <w:t>配套型住宅</w:t>
      </w:r>
      <w:r>
        <w:rPr>
          <w:rStyle w:val="s31"/>
          <w:rFonts w:ascii="Arial" w:hAnsi="Arial" w:cs="Arial"/>
          <w:lang/>
        </w:rPr>
        <w:t>(R0)</w:t>
      </w:r>
    </w:p>
    <w:p w:rsidR="00D5746B" w:rsidRDefault="00D5746B" w:rsidP="00D5746B">
      <w:pPr>
        <w:pStyle w:val="p4"/>
        <w:rPr>
          <w:rFonts w:ascii="Arial" w:hAnsi="Arial" w:cs="Arial"/>
          <w:color w:val="111111"/>
          <w:lang/>
        </w:rPr>
      </w:pPr>
      <w:r>
        <w:rPr>
          <w:rStyle w:val="s31"/>
          <w:rFonts w:ascii="Arial" w:hAnsi="Arial" w:cs="Arial"/>
          <w:lang/>
        </w:rPr>
        <w:t>(</w:t>
      </w:r>
      <w:r>
        <w:rPr>
          <w:rStyle w:val="s31"/>
          <w:rFonts w:ascii="Arial" w:hAnsi="Arial" w:cs="Arial"/>
          <w:lang/>
        </w:rPr>
        <w:t>四</w:t>
      </w:r>
      <w:r>
        <w:rPr>
          <w:rStyle w:val="s31"/>
          <w:rFonts w:ascii="Arial" w:hAnsi="Arial" w:cs="Arial"/>
          <w:lang/>
        </w:rPr>
        <w:t>)</w:t>
      </w:r>
      <w:r>
        <w:rPr>
          <w:rStyle w:val="s31"/>
          <w:rFonts w:ascii="Arial" w:hAnsi="Arial" w:cs="Arial"/>
          <w:lang/>
        </w:rPr>
        <w:t>其他规定</w:t>
      </w:r>
    </w:p>
    <w:p w:rsidR="00D5746B" w:rsidRDefault="00D5746B" w:rsidP="00D5746B">
      <w:pPr>
        <w:pStyle w:val="p3"/>
        <w:rPr>
          <w:rFonts w:ascii="Arial" w:hAnsi="Arial" w:cs="Arial"/>
          <w:color w:val="111111"/>
          <w:lang/>
        </w:rPr>
      </w:pPr>
      <w:r>
        <w:rPr>
          <w:rStyle w:val="s21"/>
          <w:rFonts w:ascii="Arial" w:hAnsi="Arial" w:cs="Arial"/>
          <w:lang/>
        </w:rPr>
        <w:t>前言</w:t>
      </w:r>
    </w:p>
    <w:p w:rsidR="00D5746B" w:rsidRDefault="00D5746B" w:rsidP="00D5746B">
      <w:pPr>
        <w:pStyle w:val="p4"/>
        <w:rPr>
          <w:rFonts w:ascii="Arial" w:hAnsi="Arial" w:cs="Arial"/>
          <w:color w:val="111111"/>
          <w:lang/>
        </w:rPr>
      </w:pPr>
      <w:r>
        <w:rPr>
          <w:rStyle w:val="s31"/>
          <w:rFonts w:ascii="Arial" w:hAnsi="Arial" w:cs="Arial"/>
          <w:lang/>
        </w:rPr>
        <w:t>本指引主要对居住、商业服务业、新型产业等用地及其混合用地的容积率确定予以指引，对其他用地容积率不作特别规定。地块建筑面积及容积率确定除应满足市政交通设施负荷，符合历史保护、生态保护、地质条件等要求外，还需满足日照、消防等规范要求。居住用地建筑面积及容积率确定须同时校核所在地区的公共设施服务水平。按照本指引计算的地块建筑面积及容积率仅作为技术参考，具体指标应结合相关影响条件综合研究论证，按程序批准确定。</w:t>
      </w:r>
    </w:p>
    <w:p w:rsidR="00D5746B" w:rsidRDefault="00D5746B" w:rsidP="00D5746B">
      <w:pPr>
        <w:pStyle w:val="p4"/>
        <w:rPr>
          <w:rFonts w:ascii="Arial" w:hAnsi="Arial" w:cs="Arial"/>
          <w:color w:val="111111"/>
          <w:lang/>
        </w:rPr>
      </w:pPr>
      <w:r>
        <w:rPr>
          <w:rStyle w:val="s31"/>
          <w:rFonts w:ascii="Arial" w:hAnsi="Arial" w:cs="Arial"/>
          <w:lang/>
        </w:rPr>
        <w:t>采用土地权利人自行改造模式且改造为居住、商业等功能的单元，暂仍按《关于印发</w:t>
      </w:r>
      <w:r>
        <w:rPr>
          <w:rStyle w:val="s31"/>
          <w:rFonts w:ascii="Arial" w:hAnsi="Arial" w:cs="Arial"/>
          <w:lang/>
        </w:rPr>
        <w:t>&lt;</w:t>
      </w:r>
      <w:r>
        <w:rPr>
          <w:rStyle w:val="s31"/>
          <w:rFonts w:ascii="Arial" w:hAnsi="Arial" w:cs="Arial"/>
          <w:lang/>
        </w:rPr>
        <w:t>东莞市</w:t>
      </w:r>
      <w:r>
        <w:rPr>
          <w:rStyle w:val="s31"/>
          <w:rFonts w:ascii="Arial" w:hAnsi="Arial" w:cs="Arial"/>
          <w:lang/>
        </w:rPr>
        <w:t>“</w:t>
      </w:r>
      <w:r>
        <w:rPr>
          <w:rStyle w:val="s31"/>
          <w:rFonts w:ascii="Arial" w:hAnsi="Arial" w:cs="Arial"/>
          <w:lang/>
        </w:rPr>
        <w:t>三旧</w:t>
      </w:r>
      <w:r>
        <w:rPr>
          <w:rStyle w:val="s31"/>
          <w:rFonts w:ascii="Arial" w:hAnsi="Arial" w:cs="Arial"/>
          <w:lang/>
        </w:rPr>
        <w:t>”</w:t>
      </w:r>
      <w:r>
        <w:rPr>
          <w:rStyle w:val="s31"/>
          <w:rFonts w:ascii="Arial" w:hAnsi="Arial" w:cs="Arial"/>
          <w:lang/>
        </w:rPr>
        <w:t>改造单元前期研究报告编制指引</w:t>
      </w:r>
      <w:r>
        <w:rPr>
          <w:rStyle w:val="s31"/>
          <w:rFonts w:ascii="Arial" w:hAnsi="Arial" w:cs="Arial"/>
          <w:lang/>
        </w:rPr>
        <w:t>&gt;</w:t>
      </w:r>
      <w:r>
        <w:rPr>
          <w:rStyle w:val="s31"/>
          <w:rFonts w:ascii="Arial" w:hAnsi="Arial" w:cs="Arial"/>
          <w:lang/>
        </w:rPr>
        <w:t>和</w:t>
      </w:r>
      <w:r>
        <w:rPr>
          <w:rStyle w:val="s31"/>
          <w:rFonts w:ascii="Arial" w:hAnsi="Arial" w:cs="Arial"/>
          <w:lang/>
        </w:rPr>
        <w:lastRenderedPageBreak/>
        <w:t>&lt;</w:t>
      </w:r>
      <w:r>
        <w:rPr>
          <w:rStyle w:val="s31"/>
          <w:rFonts w:ascii="Arial" w:hAnsi="Arial" w:cs="Arial"/>
          <w:lang/>
        </w:rPr>
        <w:t>东莞市</w:t>
      </w:r>
      <w:r>
        <w:rPr>
          <w:rStyle w:val="s31"/>
          <w:rFonts w:ascii="Arial" w:hAnsi="Arial" w:cs="Arial"/>
          <w:lang/>
        </w:rPr>
        <w:t>“</w:t>
      </w:r>
      <w:r>
        <w:rPr>
          <w:rStyle w:val="s31"/>
          <w:rFonts w:ascii="Arial" w:hAnsi="Arial" w:cs="Arial"/>
          <w:lang/>
        </w:rPr>
        <w:t>三旧</w:t>
      </w:r>
      <w:r>
        <w:rPr>
          <w:rStyle w:val="s31"/>
          <w:rFonts w:ascii="Arial" w:hAnsi="Arial" w:cs="Arial"/>
          <w:lang/>
        </w:rPr>
        <w:t>”</w:t>
      </w:r>
      <w:r>
        <w:rPr>
          <w:rStyle w:val="s31"/>
          <w:rFonts w:ascii="Arial" w:hAnsi="Arial" w:cs="Arial"/>
          <w:lang/>
        </w:rPr>
        <w:t>改造单元规划编制指引</w:t>
      </w:r>
      <w:r>
        <w:rPr>
          <w:rStyle w:val="s31"/>
          <w:rFonts w:ascii="Arial" w:hAnsi="Arial" w:cs="Arial"/>
          <w:lang/>
        </w:rPr>
        <w:t>&gt;</w:t>
      </w:r>
      <w:r>
        <w:rPr>
          <w:rStyle w:val="s31"/>
          <w:rFonts w:ascii="Arial" w:hAnsi="Arial" w:cs="Arial"/>
          <w:lang/>
        </w:rPr>
        <w:t>的通知》</w:t>
      </w:r>
      <w:r>
        <w:rPr>
          <w:rStyle w:val="s31"/>
          <w:rFonts w:ascii="Arial" w:hAnsi="Arial" w:cs="Arial"/>
          <w:lang/>
        </w:rPr>
        <w:t>(</w:t>
      </w:r>
      <w:r>
        <w:rPr>
          <w:rStyle w:val="s31"/>
          <w:rFonts w:ascii="Arial" w:hAnsi="Arial" w:cs="Arial"/>
          <w:lang/>
        </w:rPr>
        <w:t>东</w:t>
      </w:r>
      <w:proofErr w:type="gramStart"/>
      <w:r>
        <w:rPr>
          <w:rStyle w:val="s31"/>
          <w:rFonts w:ascii="Arial" w:hAnsi="Arial" w:cs="Arial"/>
          <w:lang/>
        </w:rPr>
        <w:t>规</w:t>
      </w:r>
      <w:proofErr w:type="gramEnd"/>
      <w:r>
        <w:rPr>
          <w:rStyle w:val="s31"/>
          <w:rFonts w:ascii="Arial" w:hAnsi="Arial" w:cs="Arial"/>
          <w:lang/>
        </w:rPr>
        <w:t>发</w:t>
      </w:r>
      <w:r>
        <w:rPr>
          <w:rStyle w:val="s31"/>
          <w:rFonts w:ascii="Arial" w:hAnsi="Arial" w:cs="Arial"/>
          <w:lang/>
        </w:rPr>
        <w:t>[2015]40</w:t>
      </w:r>
      <w:r>
        <w:rPr>
          <w:rStyle w:val="s31"/>
          <w:rFonts w:ascii="Arial" w:hAnsi="Arial" w:cs="Arial"/>
          <w:lang/>
        </w:rPr>
        <w:t>号</w:t>
      </w:r>
      <w:r>
        <w:rPr>
          <w:rStyle w:val="s31"/>
          <w:rFonts w:ascii="Arial" w:hAnsi="Arial" w:cs="Arial"/>
          <w:lang/>
        </w:rPr>
        <w:t>)</w:t>
      </w:r>
      <w:r>
        <w:rPr>
          <w:rStyle w:val="s31"/>
          <w:rFonts w:ascii="Arial" w:hAnsi="Arial" w:cs="Arial"/>
          <w:lang/>
        </w:rPr>
        <w:t>执行。</w:t>
      </w:r>
    </w:p>
    <w:p w:rsidR="00D5746B" w:rsidRDefault="00D5746B" w:rsidP="00D5746B">
      <w:pPr>
        <w:pStyle w:val="p4"/>
        <w:rPr>
          <w:rFonts w:ascii="Arial" w:hAnsi="Arial" w:cs="Arial"/>
          <w:color w:val="111111"/>
          <w:lang/>
        </w:rPr>
      </w:pPr>
      <w:r>
        <w:rPr>
          <w:rStyle w:val="s21"/>
          <w:rFonts w:ascii="Arial" w:hAnsi="Arial" w:cs="Arial"/>
          <w:lang/>
        </w:rPr>
        <w:t>一、名词说明</w:t>
      </w:r>
    </w:p>
    <w:p w:rsidR="00D5746B" w:rsidRDefault="00D5746B" w:rsidP="00D5746B">
      <w:pPr>
        <w:pStyle w:val="p4"/>
        <w:rPr>
          <w:rFonts w:ascii="Arial" w:hAnsi="Arial" w:cs="Arial"/>
          <w:color w:val="111111"/>
          <w:lang/>
        </w:rPr>
      </w:pPr>
      <w:r>
        <w:rPr>
          <w:rStyle w:val="s31"/>
          <w:rFonts w:ascii="Arial" w:hAnsi="Arial" w:cs="Arial"/>
          <w:lang/>
        </w:rPr>
        <w:t>本指引的建筑面积特指计容建筑面积。容积率是指建筑面积与用地面积的比值。地块或项目建筑面积由基础建筑面积、奖励建筑面积和补偿建筑面积组成。</w:t>
      </w:r>
    </w:p>
    <w:p w:rsidR="00D5746B" w:rsidRDefault="00D5746B" w:rsidP="00D5746B">
      <w:pPr>
        <w:pStyle w:val="p4"/>
        <w:rPr>
          <w:rFonts w:ascii="Arial" w:hAnsi="Arial" w:cs="Arial"/>
          <w:color w:val="111111"/>
          <w:lang/>
        </w:rPr>
      </w:pPr>
      <w:r>
        <w:rPr>
          <w:rStyle w:val="s31"/>
          <w:rFonts w:ascii="Arial" w:hAnsi="Arial" w:cs="Arial"/>
          <w:lang/>
        </w:rPr>
        <w:t>基础建筑面积是在密度分区确定的基准容积率基础上，根据修正系数计算得到的建筑面积；奖励建筑面积是指更新单元因改造主体贡献指定公共设施所获得的奖励建筑面积；补偿建筑面积是指为平衡旧村、旧城更新单元改造成本而给予的建筑面积补偿。</w:t>
      </w:r>
    </w:p>
    <w:p w:rsidR="00D5746B" w:rsidRDefault="00D5746B" w:rsidP="00D5746B">
      <w:pPr>
        <w:pStyle w:val="p4"/>
        <w:rPr>
          <w:rFonts w:ascii="Arial" w:hAnsi="Arial" w:cs="Arial"/>
          <w:color w:val="111111"/>
          <w:lang/>
        </w:rPr>
      </w:pPr>
      <w:r>
        <w:rPr>
          <w:rStyle w:val="s21"/>
          <w:rFonts w:ascii="Arial" w:hAnsi="Arial" w:cs="Arial"/>
          <w:lang/>
        </w:rPr>
        <w:t>二、容积率计算方法</w:t>
      </w:r>
    </w:p>
    <w:p w:rsidR="00D5746B" w:rsidRDefault="00D5746B" w:rsidP="00D5746B">
      <w:pPr>
        <w:pStyle w:val="p4"/>
        <w:rPr>
          <w:rFonts w:ascii="Arial" w:hAnsi="Arial" w:cs="Arial"/>
          <w:color w:val="111111"/>
          <w:lang/>
        </w:rPr>
      </w:pPr>
      <w:r>
        <w:rPr>
          <w:rStyle w:val="s31"/>
          <w:rFonts w:ascii="Arial" w:hAnsi="Arial" w:cs="Arial"/>
          <w:lang/>
        </w:rPr>
        <w:t>根据《东莞市人民政府关于深化改革全力推进城市更新提升城市品质的意见》</w:t>
      </w:r>
      <w:r>
        <w:rPr>
          <w:rStyle w:val="s31"/>
          <w:rFonts w:ascii="Arial" w:hAnsi="Arial" w:cs="Arial"/>
          <w:lang/>
        </w:rPr>
        <w:t>(</w:t>
      </w:r>
      <w:r>
        <w:rPr>
          <w:rStyle w:val="s31"/>
          <w:rFonts w:ascii="Arial" w:hAnsi="Arial" w:cs="Arial"/>
          <w:lang/>
        </w:rPr>
        <w:t>东府</w:t>
      </w:r>
      <w:r>
        <w:rPr>
          <w:rFonts w:ascii="Arial" w:hAnsi="Arial" w:cs="Arial"/>
          <w:color w:val="111111"/>
          <w:lang/>
        </w:rPr>
        <w:t>〔</w:t>
      </w:r>
      <w:r>
        <w:rPr>
          <w:rFonts w:ascii="Arial" w:hAnsi="Arial" w:cs="Arial"/>
          <w:color w:val="111111"/>
          <w:lang/>
        </w:rPr>
        <w:t>2018</w:t>
      </w:r>
      <w:r>
        <w:rPr>
          <w:rFonts w:ascii="Arial" w:hAnsi="Arial" w:cs="Arial"/>
          <w:color w:val="111111"/>
          <w:lang/>
        </w:rPr>
        <w:t>〕</w:t>
      </w:r>
      <w:r>
        <w:rPr>
          <w:rStyle w:val="s31"/>
          <w:rFonts w:ascii="Arial" w:hAnsi="Arial" w:cs="Arial"/>
          <w:lang/>
        </w:rPr>
        <w:t>102</w:t>
      </w:r>
      <w:r>
        <w:rPr>
          <w:rStyle w:val="s31"/>
          <w:rFonts w:ascii="Arial" w:hAnsi="Arial" w:cs="Arial"/>
          <w:lang/>
        </w:rPr>
        <w:t>号</w:t>
      </w:r>
      <w:r>
        <w:rPr>
          <w:rStyle w:val="s31"/>
          <w:rFonts w:ascii="Arial" w:hAnsi="Arial" w:cs="Arial"/>
          <w:lang/>
        </w:rPr>
        <w:t>)</w:t>
      </w:r>
      <w:r>
        <w:rPr>
          <w:rStyle w:val="s31"/>
          <w:rFonts w:ascii="Arial" w:hAnsi="Arial" w:cs="Arial"/>
          <w:lang/>
        </w:rPr>
        <w:t>、《东莞市城市更新单元划定编制和审查工作指引》，我市城市更新分更新单元划定和更新单元前期研究报告两个阶段进行规划编制。单元划定阶段确定更新项目总建筑规模，总建筑规模以更新单元</w:t>
      </w:r>
      <w:r>
        <w:rPr>
          <w:rStyle w:val="s31"/>
          <w:rFonts w:ascii="Arial" w:hAnsi="Arial" w:cs="Arial"/>
          <w:lang/>
        </w:rPr>
        <w:t>(</w:t>
      </w:r>
      <w:r>
        <w:rPr>
          <w:rStyle w:val="s31"/>
          <w:rFonts w:ascii="Arial" w:hAnsi="Arial" w:cs="Arial"/>
          <w:lang/>
        </w:rPr>
        <w:t>项目</w:t>
      </w:r>
      <w:r>
        <w:rPr>
          <w:rStyle w:val="s31"/>
          <w:rFonts w:ascii="Arial" w:hAnsi="Arial" w:cs="Arial"/>
          <w:lang/>
        </w:rPr>
        <w:t>)</w:t>
      </w:r>
      <w:r>
        <w:rPr>
          <w:rStyle w:val="s31"/>
          <w:rFonts w:ascii="Arial" w:hAnsi="Arial" w:cs="Arial"/>
          <w:lang/>
        </w:rPr>
        <w:t>为单位进行计算。前期研究报告阶段确定各规划地块的建筑规模及地块容积率，建筑规模以规划地块为单位进行计算。</w:t>
      </w:r>
    </w:p>
    <w:p w:rsidR="00D5746B" w:rsidRDefault="00D5746B" w:rsidP="00D5746B">
      <w:pPr>
        <w:pStyle w:val="p4"/>
        <w:rPr>
          <w:rFonts w:ascii="Arial" w:hAnsi="Arial" w:cs="Arial"/>
          <w:color w:val="111111"/>
          <w:lang/>
        </w:rPr>
      </w:pPr>
      <w:r>
        <w:rPr>
          <w:rStyle w:val="s31"/>
          <w:rFonts w:ascii="Arial" w:hAnsi="Arial" w:cs="Arial"/>
          <w:lang/>
        </w:rPr>
        <w:t>(</w:t>
      </w:r>
      <w:proofErr w:type="gramStart"/>
      <w:r>
        <w:rPr>
          <w:rStyle w:val="s31"/>
          <w:rFonts w:ascii="Arial" w:hAnsi="Arial" w:cs="Arial"/>
          <w:lang/>
        </w:rPr>
        <w:t>一</w:t>
      </w:r>
      <w:proofErr w:type="gramEnd"/>
      <w:r>
        <w:rPr>
          <w:rStyle w:val="s31"/>
          <w:rFonts w:ascii="Arial" w:hAnsi="Arial" w:cs="Arial"/>
          <w:lang/>
        </w:rPr>
        <w:t>)</w:t>
      </w:r>
      <w:r>
        <w:rPr>
          <w:rStyle w:val="s31"/>
          <w:rFonts w:ascii="Arial" w:hAnsi="Arial" w:cs="Arial"/>
          <w:lang/>
        </w:rPr>
        <w:t>单元划定阶段更新单元</w:t>
      </w:r>
      <w:r>
        <w:rPr>
          <w:rStyle w:val="s31"/>
          <w:rFonts w:ascii="Arial" w:hAnsi="Arial" w:cs="Arial"/>
          <w:lang/>
        </w:rPr>
        <w:t>(</w:t>
      </w:r>
      <w:r>
        <w:rPr>
          <w:rStyle w:val="s31"/>
          <w:rFonts w:ascii="Arial" w:hAnsi="Arial" w:cs="Arial"/>
          <w:lang/>
        </w:rPr>
        <w:t>项目</w:t>
      </w:r>
      <w:r>
        <w:rPr>
          <w:rStyle w:val="s31"/>
          <w:rFonts w:ascii="Arial" w:hAnsi="Arial" w:cs="Arial"/>
          <w:lang/>
        </w:rPr>
        <w:t>)</w:t>
      </w:r>
      <w:r>
        <w:rPr>
          <w:rStyle w:val="s31"/>
          <w:rFonts w:ascii="Arial" w:hAnsi="Arial" w:cs="Arial"/>
          <w:lang/>
        </w:rPr>
        <w:t>总建筑规模计算</w:t>
      </w:r>
    </w:p>
    <w:p w:rsidR="00D5746B" w:rsidRDefault="00D5746B" w:rsidP="00D5746B">
      <w:pPr>
        <w:pStyle w:val="p4"/>
        <w:rPr>
          <w:rFonts w:ascii="Arial" w:hAnsi="Arial" w:cs="Arial"/>
          <w:color w:val="111111"/>
          <w:lang/>
        </w:rPr>
      </w:pPr>
      <w:r>
        <w:rPr>
          <w:rStyle w:val="s31"/>
          <w:rFonts w:ascii="Arial" w:hAnsi="Arial" w:cs="Arial"/>
          <w:lang/>
        </w:rPr>
        <w:t>FA</w:t>
      </w:r>
      <w:r>
        <w:rPr>
          <w:rStyle w:val="s31"/>
          <w:rFonts w:ascii="Arial" w:hAnsi="Arial" w:cs="Arial"/>
          <w:lang/>
        </w:rPr>
        <w:t>单元</w:t>
      </w:r>
      <w:r>
        <w:rPr>
          <w:rStyle w:val="s31"/>
          <w:rFonts w:hint="eastAsia"/>
          <w:lang/>
        </w:rPr>
        <w:t>≦</w:t>
      </w:r>
      <w:r>
        <w:rPr>
          <w:rStyle w:val="s31"/>
          <w:rFonts w:ascii="Arial" w:hAnsi="Arial" w:cs="Arial"/>
          <w:lang/>
        </w:rPr>
        <w:t>FA</w:t>
      </w:r>
      <w:r>
        <w:rPr>
          <w:rStyle w:val="s31"/>
          <w:rFonts w:ascii="Arial" w:hAnsi="Arial" w:cs="Arial"/>
          <w:lang/>
        </w:rPr>
        <w:t>单元基础</w:t>
      </w:r>
      <w:r>
        <w:rPr>
          <w:rStyle w:val="s31"/>
          <w:rFonts w:ascii="Arial" w:hAnsi="Arial" w:cs="Arial"/>
          <w:lang/>
        </w:rPr>
        <w:t>+FA</w:t>
      </w:r>
      <w:r>
        <w:rPr>
          <w:rStyle w:val="s31"/>
          <w:rFonts w:ascii="Arial" w:hAnsi="Arial" w:cs="Arial"/>
          <w:lang/>
        </w:rPr>
        <w:t>单元奖励</w:t>
      </w:r>
      <w:r>
        <w:rPr>
          <w:rStyle w:val="s31"/>
          <w:rFonts w:ascii="Arial" w:hAnsi="Arial" w:cs="Arial"/>
          <w:lang/>
        </w:rPr>
        <w:t>+FA</w:t>
      </w:r>
      <w:r>
        <w:rPr>
          <w:rStyle w:val="s31"/>
          <w:rFonts w:ascii="Arial" w:hAnsi="Arial" w:cs="Arial"/>
          <w:lang/>
        </w:rPr>
        <w:t>单元补偿</w:t>
      </w:r>
      <w:r>
        <w:rPr>
          <w:rStyle w:val="s31"/>
          <w:rFonts w:ascii="Arial" w:hAnsi="Arial" w:cs="Arial"/>
          <w:lang/>
        </w:rPr>
        <w:t>(</w:t>
      </w:r>
      <w:r>
        <w:rPr>
          <w:rStyle w:val="s31"/>
          <w:rFonts w:ascii="Arial" w:hAnsi="Arial" w:cs="Arial"/>
          <w:lang/>
        </w:rPr>
        <w:t>公式</w:t>
      </w:r>
      <w:r>
        <w:rPr>
          <w:rStyle w:val="s31"/>
          <w:rFonts w:ascii="Arial" w:hAnsi="Arial" w:cs="Arial"/>
          <w:lang/>
        </w:rPr>
        <w:t>1)</w:t>
      </w:r>
      <w:r>
        <w:rPr>
          <w:rStyle w:val="s31"/>
          <w:rFonts w:ascii="Arial" w:hAnsi="Arial" w:cs="Arial"/>
          <w:lang/>
        </w:rPr>
        <w:t>；</w:t>
      </w:r>
    </w:p>
    <w:p w:rsidR="00D5746B" w:rsidRDefault="00D5746B" w:rsidP="00D5746B">
      <w:pPr>
        <w:pStyle w:val="p4"/>
        <w:rPr>
          <w:rFonts w:ascii="Arial" w:hAnsi="Arial" w:cs="Arial"/>
          <w:color w:val="111111"/>
          <w:lang/>
        </w:rPr>
      </w:pPr>
      <w:r>
        <w:rPr>
          <w:rStyle w:val="s31"/>
          <w:rFonts w:ascii="Arial" w:hAnsi="Arial" w:cs="Arial"/>
          <w:lang/>
        </w:rPr>
        <w:lastRenderedPageBreak/>
        <w:t>FA</w:t>
      </w:r>
      <w:r>
        <w:rPr>
          <w:rStyle w:val="s31"/>
          <w:rFonts w:ascii="Arial" w:hAnsi="Arial" w:cs="Arial"/>
          <w:lang/>
        </w:rPr>
        <w:t>单元基础</w:t>
      </w:r>
      <w:r>
        <w:rPr>
          <w:rStyle w:val="s31"/>
          <w:rFonts w:ascii="Arial" w:hAnsi="Arial" w:cs="Arial"/>
          <w:lang/>
        </w:rPr>
        <w:t>=FAR</w:t>
      </w:r>
      <w:r>
        <w:rPr>
          <w:rStyle w:val="s31"/>
          <w:rFonts w:ascii="Arial" w:hAnsi="Arial" w:cs="Arial"/>
          <w:lang/>
        </w:rPr>
        <w:t>基准</w:t>
      </w:r>
      <w:r>
        <w:rPr>
          <w:rStyle w:val="s31"/>
          <w:rFonts w:ascii="Arial" w:hAnsi="Arial" w:cs="Arial"/>
          <w:lang/>
        </w:rPr>
        <w:t>xA1x(1+A5)x(S-S1)(</w:t>
      </w:r>
      <w:r>
        <w:rPr>
          <w:rStyle w:val="s31"/>
          <w:rFonts w:ascii="Arial" w:hAnsi="Arial" w:cs="Arial"/>
          <w:lang/>
        </w:rPr>
        <w:t>公式</w:t>
      </w:r>
      <w:r>
        <w:rPr>
          <w:rStyle w:val="s31"/>
          <w:rFonts w:ascii="Arial" w:hAnsi="Arial" w:cs="Arial"/>
          <w:lang/>
        </w:rPr>
        <w:t>2)</w:t>
      </w:r>
      <w:r>
        <w:rPr>
          <w:rStyle w:val="s31"/>
          <w:rFonts w:ascii="Arial" w:hAnsi="Arial" w:cs="Arial"/>
          <w:lang/>
        </w:rPr>
        <w:t>；</w:t>
      </w:r>
    </w:p>
    <w:p w:rsidR="00D5746B" w:rsidRDefault="00D5746B" w:rsidP="00D5746B">
      <w:pPr>
        <w:pStyle w:val="p4"/>
        <w:rPr>
          <w:rFonts w:ascii="Arial" w:hAnsi="Arial" w:cs="Arial"/>
          <w:color w:val="111111"/>
          <w:lang/>
        </w:rPr>
      </w:pPr>
      <w:r>
        <w:rPr>
          <w:rStyle w:val="s31"/>
          <w:rFonts w:ascii="Arial" w:hAnsi="Arial" w:cs="Arial"/>
          <w:lang/>
        </w:rPr>
        <w:t>式中</w:t>
      </w:r>
      <w:r>
        <w:rPr>
          <w:rStyle w:val="s31"/>
          <w:rFonts w:ascii="Arial" w:hAnsi="Arial" w:cs="Arial"/>
          <w:lang/>
        </w:rPr>
        <w:t>:FA</w:t>
      </w:r>
      <w:r>
        <w:rPr>
          <w:rStyle w:val="s31"/>
          <w:rFonts w:ascii="Arial" w:hAnsi="Arial" w:cs="Arial"/>
          <w:lang/>
        </w:rPr>
        <w:t>单元</w:t>
      </w:r>
      <w:r>
        <w:rPr>
          <w:rStyle w:val="s31"/>
          <w:rFonts w:ascii="Arial" w:hAnsi="Arial" w:cs="Arial"/>
          <w:lang/>
        </w:rPr>
        <w:t>--</w:t>
      </w:r>
      <w:r>
        <w:rPr>
          <w:rStyle w:val="s31"/>
          <w:rFonts w:ascii="Arial" w:hAnsi="Arial" w:cs="Arial"/>
          <w:lang/>
        </w:rPr>
        <w:t>更新单元总计容建筑面积；</w:t>
      </w:r>
    </w:p>
    <w:p w:rsidR="00D5746B" w:rsidRDefault="00D5746B" w:rsidP="00D5746B">
      <w:pPr>
        <w:pStyle w:val="p4"/>
        <w:rPr>
          <w:rFonts w:ascii="Arial" w:hAnsi="Arial" w:cs="Arial"/>
          <w:color w:val="111111"/>
          <w:lang/>
        </w:rPr>
      </w:pPr>
      <w:r>
        <w:rPr>
          <w:rStyle w:val="s31"/>
          <w:rFonts w:ascii="Arial" w:hAnsi="Arial" w:cs="Arial"/>
          <w:lang/>
        </w:rPr>
        <w:t>FA</w:t>
      </w:r>
      <w:r>
        <w:rPr>
          <w:rStyle w:val="s31"/>
          <w:rFonts w:ascii="Arial" w:hAnsi="Arial" w:cs="Arial"/>
          <w:lang/>
        </w:rPr>
        <w:t>单元基础</w:t>
      </w:r>
      <w:r>
        <w:rPr>
          <w:rStyle w:val="s31"/>
          <w:rFonts w:ascii="Arial" w:hAnsi="Arial" w:cs="Arial"/>
          <w:lang/>
        </w:rPr>
        <w:t>--</w:t>
      </w:r>
      <w:r>
        <w:rPr>
          <w:rStyle w:val="s31"/>
          <w:rFonts w:ascii="Arial" w:hAnsi="Arial" w:cs="Arial"/>
          <w:lang/>
        </w:rPr>
        <w:t>更新单元基础建筑面积；</w:t>
      </w:r>
    </w:p>
    <w:p w:rsidR="00D5746B" w:rsidRDefault="00D5746B" w:rsidP="00D5746B">
      <w:pPr>
        <w:pStyle w:val="p4"/>
        <w:rPr>
          <w:rFonts w:ascii="Arial" w:hAnsi="Arial" w:cs="Arial"/>
          <w:color w:val="111111"/>
          <w:lang/>
        </w:rPr>
      </w:pPr>
      <w:r>
        <w:rPr>
          <w:rStyle w:val="s31"/>
          <w:rFonts w:ascii="Arial" w:hAnsi="Arial" w:cs="Arial"/>
          <w:lang/>
        </w:rPr>
        <w:t>FA</w:t>
      </w:r>
      <w:r>
        <w:rPr>
          <w:rStyle w:val="s31"/>
          <w:rFonts w:ascii="Arial" w:hAnsi="Arial" w:cs="Arial"/>
          <w:lang/>
        </w:rPr>
        <w:t>单元奖励</w:t>
      </w:r>
      <w:r>
        <w:rPr>
          <w:rStyle w:val="s31"/>
          <w:rFonts w:ascii="Arial" w:hAnsi="Arial" w:cs="Arial"/>
          <w:lang/>
        </w:rPr>
        <w:t>--</w:t>
      </w:r>
      <w:r>
        <w:rPr>
          <w:rStyle w:val="s31"/>
          <w:rFonts w:ascii="Arial" w:hAnsi="Arial" w:cs="Arial"/>
          <w:lang/>
        </w:rPr>
        <w:t>更新单元奖励建筑面积；</w:t>
      </w:r>
    </w:p>
    <w:p w:rsidR="00D5746B" w:rsidRDefault="00D5746B" w:rsidP="00D5746B">
      <w:pPr>
        <w:pStyle w:val="p4"/>
        <w:rPr>
          <w:rFonts w:ascii="Arial" w:hAnsi="Arial" w:cs="Arial"/>
          <w:color w:val="111111"/>
          <w:lang/>
        </w:rPr>
      </w:pPr>
      <w:r>
        <w:rPr>
          <w:rStyle w:val="s31"/>
          <w:rFonts w:ascii="Arial" w:hAnsi="Arial" w:cs="Arial"/>
          <w:lang/>
        </w:rPr>
        <w:t>FA</w:t>
      </w:r>
      <w:r>
        <w:rPr>
          <w:rStyle w:val="s31"/>
          <w:rFonts w:ascii="Arial" w:hAnsi="Arial" w:cs="Arial"/>
          <w:lang/>
        </w:rPr>
        <w:t>单元补偿</w:t>
      </w:r>
      <w:r>
        <w:rPr>
          <w:rStyle w:val="s31"/>
          <w:rFonts w:ascii="Arial" w:hAnsi="Arial" w:cs="Arial"/>
          <w:lang/>
        </w:rPr>
        <w:t>--</w:t>
      </w:r>
      <w:r>
        <w:rPr>
          <w:rStyle w:val="s31"/>
          <w:rFonts w:ascii="Arial" w:hAnsi="Arial" w:cs="Arial"/>
          <w:lang/>
        </w:rPr>
        <w:t>更新单元补偿建筑面积；</w:t>
      </w:r>
    </w:p>
    <w:p w:rsidR="00D5746B" w:rsidRDefault="00D5746B" w:rsidP="00D5746B">
      <w:pPr>
        <w:pStyle w:val="p4"/>
        <w:rPr>
          <w:rFonts w:ascii="Arial" w:hAnsi="Arial" w:cs="Arial"/>
          <w:color w:val="111111"/>
          <w:lang/>
        </w:rPr>
      </w:pPr>
      <w:r>
        <w:rPr>
          <w:rStyle w:val="s31"/>
          <w:rFonts w:ascii="Arial" w:hAnsi="Arial" w:cs="Arial"/>
          <w:lang/>
        </w:rPr>
        <w:t>FAR</w:t>
      </w:r>
      <w:r>
        <w:rPr>
          <w:rStyle w:val="s31"/>
          <w:rFonts w:ascii="Arial" w:hAnsi="Arial" w:cs="Arial"/>
          <w:lang/>
        </w:rPr>
        <w:t>基准</w:t>
      </w:r>
      <w:r>
        <w:rPr>
          <w:rStyle w:val="s31"/>
          <w:rFonts w:ascii="Arial" w:hAnsi="Arial" w:cs="Arial"/>
          <w:lang/>
        </w:rPr>
        <w:t>--</w:t>
      </w:r>
      <w:r>
        <w:rPr>
          <w:rStyle w:val="s31"/>
          <w:rFonts w:ascii="Arial" w:hAnsi="Arial" w:cs="Arial"/>
          <w:lang/>
        </w:rPr>
        <w:t>基准容积率；</w:t>
      </w:r>
    </w:p>
    <w:p w:rsidR="00D5746B" w:rsidRDefault="00D5746B" w:rsidP="00D5746B">
      <w:pPr>
        <w:pStyle w:val="p4"/>
        <w:rPr>
          <w:rFonts w:ascii="Arial" w:hAnsi="Arial" w:cs="Arial"/>
          <w:color w:val="111111"/>
          <w:lang/>
        </w:rPr>
      </w:pPr>
      <w:r>
        <w:rPr>
          <w:rStyle w:val="s31"/>
          <w:rFonts w:ascii="Arial" w:hAnsi="Arial" w:cs="Arial"/>
          <w:lang/>
        </w:rPr>
        <w:t>A1--</w:t>
      </w:r>
      <w:r>
        <w:rPr>
          <w:rStyle w:val="s31"/>
          <w:rFonts w:ascii="Arial" w:hAnsi="Arial" w:cs="Arial"/>
          <w:lang/>
        </w:rPr>
        <w:t>组团特征修正系数；</w:t>
      </w:r>
    </w:p>
    <w:p w:rsidR="00D5746B" w:rsidRDefault="00D5746B" w:rsidP="00D5746B">
      <w:pPr>
        <w:pStyle w:val="p4"/>
        <w:rPr>
          <w:rFonts w:ascii="Arial" w:hAnsi="Arial" w:cs="Arial"/>
          <w:color w:val="111111"/>
          <w:lang/>
        </w:rPr>
      </w:pPr>
      <w:r>
        <w:rPr>
          <w:rStyle w:val="s31"/>
          <w:rFonts w:ascii="Arial" w:hAnsi="Arial" w:cs="Arial"/>
          <w:lang/>
        </w:rPr>
        <w:t>A5--</w:t>
      </w:r>
      <w:r>
        <w:rPr>
          <w:rStyle w:val="s31"/>
          <w:rFonts w:ascii="Arial" w:hAnsi="Arial" w:cs="Arial"/>
          <w:lang/>
        </w:rPr>
        <w:t>特别政策修正系数；</w:t>
      </w:r>
    </w:p>
    <w:p w:rsidR="00D5746B" w:rsidRDefault="00D5746B" w:rsidP="00D5746B">
      <w:pPr>
        <w:pStyle w:val="p4"/>
        <w:rPr>
          <w:rFonts w:ascii="Arial" w:hAnsi="Arial" w:cs="Arial"/>
          <w:color w:val="111111"/>
          <w:lang/>
        </w:rPr>
      </w:pPr>
      <w:r>
        <w:rPr>
          <w:rStyle w:val="s31"/>
          <w:rFonts w:ascii="Arial" w:hAnsi="Arial" w:cs="Arial"/>
          <w:lang/>
        </w:rPr>
        <w:t>S--</w:t>
      </w:r>
      <w:r>
        <w:rPr>
          <w:rStyle w:val="s31"/>
          <w:rFonts w:ascii="Arial" w:hAnsi="Arial" w:cs="Arial"/>
          <w:lang/>
        </w:rPr>
        <w:t>更新单元拆除范围面积；</w:t>
      </w:r>
    </w:p>
    <w:p w:rsidR="00D5746B" w:rsidRDefault="00D5746B" w:rsidP="00D5746B">
      <w:pPr>
        <w:pStyle w:val="p4"/>
        <w:rPr>
          <w:rFonts w:ascii="Arial" w:hAnsi="Arial" w:cs="Arial"/>
          <w:color w:val="111111"/>
          <w:lang/>
        </w:rPr>
      </w:pPr>
      <w:r>
        <w:rPr>
          <w:rStyle w:val="s31"/>
          <w:rFonts w:ascii="Arial" w:hAnsi="Arial" w:cs="Arial"/>
          <w:lang/>
        </w:rPr>
        <w:t>S1--</w:t>
      </w:r>
      <w:r>
        <w:rPr>
          <w:rStyle w:val="s31"/>
          <w:rFonts w:ascii="Arial" w:hAnsi="Arial" w:cs="Arial"/>
          <w:lang/>
        </w:rPr>
        <w:t>更新单元的集中贡献设施用地面积</w:t>
      </w:r>
      <w:r>
        <w:rPr>
          <w:rStyle w:val="s31"/>
          <w:rFonts w:ascii="Arial" w:hAnsi="Arial" w:cs="Arial"/>
          <w:lang/>
        </w:rPr>
        <w:t>(</w:t>
      </w:r>
      <w:r>
        <w:rPr>
          <w:rStyle w:val="s31"/>
          <w:rFonts w:ascii="Arial" w:hAnsi="Arial" w:cs="Arial"/>
          <w:lang/>
        </w:rPr>
        <w:t>不含附设的设施</w:t>
      </w:r>
      <w:r>
        <w:rPr>
          <w:rStyle w:val="s31"/>
          <w:rFonts w:ascii="Arial" w:hAnsi="Arial" w:cs="Arial"/>
          <w:lang/>
        </w:rPr>
        <w:t>)</w:t>
      </w:r>
      <w:r>
        <w:rPr>
          <w:rStyle w:val="s31"/>
          <w:rFonts w:ascii="Arial" w:hAnsi="Arial" w:cs="Arial"/>
          <w:lang/>
        </w:rPr>
        <w:t>。</w:t>
      </w:r>
    </w:p>
    <w:p w:rsidR="00D5746B" w:rsidRDefault="00D5746B" w:rsidP="00D5746B">
      <w:pPr>
        <w:pStyle w:val="p4"/>
        <w:rPr>
          <w:rFonts w:ascii="Arial" w:hAnsi="Arial" w:cs="Arial"/>
          <w:color w:val="111111"/>
          <w:lang/>
        </w:rPr>
      </w:pPr>
      <w:r>
        <w:rPr>
          <w:rStyle w:val="s31"/>
          <w:rFonts w:ascii="Arial" w:hAnsi="Arial" w:cs="Arial"/>
          <w:lang/>
        </w:rPr>
        <w:t>混合用地的更新单元，更新单元基准容积率宜按下式计算</w:t>
      </w:r>
      <w:r>
        <w:rPr>
          <w:rStyle w:val="s31"/>
          <w:rFonts w:ascii="Arial" w:hAnsi="Arial" w:cs="Arial"/>
          <w:lang/>
        </w:rPr>
        <w:t>(</w:t>
      </w:r>
      <w:r>
        <w:rPr>
          <w:rStyle w:val="s31"/>
          <w:rFonts w:ascii="Arial" w:hAnsi="Arial" w:cs="Arial"/>
          <w:lang/>
        </w:rPr>
        <w:t>下同</w:t>
      </w:r>
      <w:r>
        <w:rPr>
          <w:rStyle w:val="s31"/>
          <w:rFonts w:ascii="Arial" w:hAnsi="Arial" w:cs="Arial"/>
          <w:lang/>
        </w:rPr>
        <w:t>):</w:t>
      </w:r>
    </w:p>
    <w:p w:rsidR="00D5746B" w:rsidRDefault="00D5746B" w:rsidP="00D5746B">
      <w:pPr>
        <w:pStyle w:val="p4"/>
        <w:rPr>
          <w:rFonts w:ascii="Arial" w:hAnsi="Arial" w:cs="Arial"/>
          <w:color w:val="111111"/>
          <w:lang/>
        </w:rPr>
      </w:pPr>
      <w:r>
        <w:rPr>
          <w:rStyle w:val="s31"/>
          <w:rFonts w:ascii="Arial" w:hAnsi="Arial" w:cs="Arial"/>
          <w:lang/>
        </w:rPr>
        <w:t>FAR</w:t>
      </w:r>
      <w:r>
        <w:rPr>
          <w:rStyle w:val="s31"/>
          <w:rFonts w:ascii="Arial" w:hAnsi="Arial" w:cs="Arial"/>
          <w:lang/>
        </w:rPr>
        <w:t>基准混合</w:t>
      </w:r>
      <w:r>
        <w:rPr>
          <w:rStyle w:val="s31"/>
          <w:rFonts w:ascii="Arial" w:hAnsi="Arial" w:cs="Arial"/>
          <w:lang/>
        </w:rPr>
        <w:t>=FAR1xK1+FAR2xK2+FAR3xK3……(</w:t>
      </w:r>
      <w:r>
        <w:rPr>
          <w:rStyle w:val="s31"/>
          <w:rFonts w:ascii="Arial" w:hAnsi="Arial" w:cs="Arial"/>
          <w:lang/>
        </w:rPr>
        <w:t>公式</w:t>
      </w:r>
      <w:r>
        <w:rPr>
          <w:rStyle w:val="s31"/>
          <w:rFonts w:ascii="Arial" w:hAnsi="Arial" w:cs="Arial"/>
          <w:lang/>
        </w:rPr>
        <w:t>3)</w:t>
      </w:r>
      <w:r>
        <w:rPr>
          <w:rStyle w:val="s31"/>
          <w:rFonts w:ascii="Arial" w:hAnsi="Arial" w:cs="Arial"/>
          <w:lang/>
        </w:rPr>
        <w:t>；</w:t>
      </w:r>
    </w:p>
    <w:p w:rsidR="00D5746B" w:rsidRDefault="00D5746B" w:rsidP="00D5746B">
      <w:pPr>
        <w:pStyle w:val="p4"/>
        <w:rPr>
          <w:rFonts w:ascii="Arial" w:hAnsi="Arial" w:cs="Arial"/>
          <w:color w:val="111111"/>
          <w:lang/>
        </w:rPr>
      </w:pPr>
      <w:r>
        <w:rPr>
          <w:rStyle w:val="s31"/>
          <w:rFonts w:ascii="Arial" w:hAnsi="Arial" w:cs="Arial"/>
          <w:lang/>
        </w:rPr>
        <w:t>式中</w:t>
      </w:r>
      <w:r>
        <w:rPr>
          <w:rStyle w:val="s31"/>
          <w:rFonts w:ascii="Arial" w:hAnsi="Arial" w:cs="Arial"/>
          <w:lang/>
        </w:rPr>
        <w:t>:FAR1</w:t>
      </w:r>
      <w:r>
        <w:rPr>
          <w:rStyle w:val="s31"/>
          <w:rFonts w:ascii="Arial" w:hAnsi="Arial" w:cs="Arial"/>
          <w:lang/>
        </w:rPr>
        <w:t>、</w:t>
      </w:r>
      <w:r>
        <w:rPr>
          <w:rStyle w:val="s31"/>
          <w:rFonts w:ascii="Arial" w:hAnsi="Arial" w:cs="Arial"/>
          <w:lang/>
        </w:rPr>
        <w:t>FAR2</w:t>
      </w:r>
      <w:r>
        <w:rPr>
          <w:rStyle w:val="s31"/>
          <w:rFonts w:ascii="Arial" w:hAnsi="Arial" w:cs="Arial"/>
          <w:lang/>
        </w:rPr>
        <w:t>、</w:t>
      </w:r>
      <w:r>
        <w:rPr>
          <w:rStyle w:val="s31"/>
          <w:rFonts w:ascii="Arial" w:hAnsi="Arial" w:cs="Arial"/>
          <w:lang/>
        </w:rPr>
        <w:t>FAR3--</w:t>
      </w:r>
      <w:r>
        <w:rPr>
          <w:rStyle w:val="s31"/>
          <w:rFonts w:ascii="Arial" w:hAnsi="Arial" w:cs="Arial"/>
          <w:lang/>
        </w:rPr>
        <w:t>分别为该更新单元基于单</w:t>
      </w:r>
      <w:r>
        <w:rPr>
          <w:rStyle w:val="s31"/>
          <w:rFonts w:ascii="Arial" w:hAnsi="Arial" w:cs="Arial"/>
          <w:lang/>
        </w:rPr>
        <w:t>--</w:t>
      </w:r>
      <w:r>
        <w:rPr>
          <w:rStyle w:val="s31"/>
          <w:rFonts w:ascii="Arial" w:hAnsi="Arial" w:cs="Arial"/>
          <w:lang/>
        </w:rPr>
        <w:t>用地功能的基准容积率；</w:t>
      </w:r>
    </w:p>
    <w:p w:rsidR="00D5746B" w:rsidRDefault="00D5746B" w:rsidP="00D5746B">
      <w:pPr>
        <w:pStyle w:val="p4"/>
        <w:rPr>
          <w:rFonts w:ascii="Arial" w:hAnsi="Arial" w:cs="Arial"/>
          <w:color w:val="111111"/>
          <w:lang/>
        </w:rPr>
      </w:pPr>
      <w:r>
        <w:rPr>
          <w:rStyle w:val="s31"/>
          <w:rFonts w:ascii="Arial" w:hAnsi="Arial" w:cs="Arial"/>
          <w:lang/>
        </w:rPr>
        <w:t>K1</w:t>
      </w:r>
      <w:r>
        <w:rPr>
          <w:rStyle w:val="s31"/>
          <w:rFonts w:ascii="Arial" w:hAnsi="Arial" w:cs="Arial"/>
          <w:lang/>
        </w:rPr>
        <w:t>、</w:t>
      </w:r>
      <w:r>
        <w:rPr>
          <w:rStyle w:val="s31"/>
          <w:rFonts w:ascii="Arial" w:hAnsi="Arial" w:cs="Arial"/>
          <w:lang/>
        </w:rPr>
        <w:t>K2</w:t>
      </w:r>
      <w:r>
        <w:rPr>
          <w:rStyle w:val="s31"/>
          <w:rFonts w:ascii="Arial" w:hAnsi="Arial" w:cs="Arial"/>
          <w:lang/>
        </w:rPr>
        <w:t>、</w:t>
      </w:r>
      <w:r>
        <w:rPr>
          <w:rStyle w:val="s31"/>
          <w:rFonts w:ascii="Arial" w:hAnsi="Arial" w:cs="Arial"/>
          <w:lang/>
        </w:rPr>
        <w:t>K3--</w:t>
      </w:r>
      <w:r>
        <w:rPr>
          <w:rStyle w:val="s31"/>
          <w:rFonts w:ascii="Arial" w:hAnsi="Arial" w:cs="Arial"/>
          <w:lang/>
        </w:rPr>
        <w:t>分别为该更新单元各类功能建筑面积占总建筑面积的比例。</w:t>
      </w:r>
    </w:p>
    <w:p w:rsidR="00D5746B" w:rsidRDefault="00D5746B" w:rsidP="00D5746B">
      <w:pPr>
        <w:pStyle w:val="p5"/>
        <w:rPr>
          <w:rFonts w:ascii="Arial" w:hAnsi="Arial" w:cs="Arial"/>
          <w:color w:val="111111"/>
          <w:lang/>
        </w:rPr>
      </w:pPr>
      <w:r>
        <w:rPr>
          <w:rStyle w:val="s31"/>
          <w:rFonts w:ascii="Arial" w:hAnsi="Arial" w:cs="Arial"/>
          <w:lang/>
        </w:rPr>
        <w:t>(</w:t>
      </w:r>
      <w:r>
        <w:rPr>
          <w:rStyle w:val="s31"/>
          <w:rFonts w:ascii="Arial" w:hAnsi="Arial" w:cs="Arial"/>
          <w:lang/>
        </w:rPr>
        <w:t>二</w:t>
      </w:r>
      <w:r>
        <w:rPr>
          <w:rStyle w:val="s31"/>
          <w:rFonts w:ascii="Arial" w:hAnsi="Arial" w:cs="Arial"/>
          <w:lang/>
        </w:rPr>
        <w:t>)</w:t>
      </w:r>
      <w:r>
        <w:rPr>
          <w:rStyle w:val="s31"/>
          <w:rFonts w:ascii="Arial" w:hAnsi="Arial" w:cs="Arial"/>
          <w:lang/>
        </w:rPr>
        <w:t>前期研究阶段更新地块建筑规模计算</w:t>
      </w:r>
    </w:p>
    <w:p w:rsidR="00D5746B" w:rsidRDefault="00D5746B" w:rsidP="00D5746B">
      <w:pPr>
        <w:pStyle w:val="p5"/>
        <w:rPr>
          <w:rFonts w:ascii="Arial" w:hAnsi="Arial" w:cs="Arial"/>
          <w:color w:val="111111"/>
          <w:lang/>
        </w:rPr>
      </w:pPr>
      <w:r>
        <w:rPr>
          <w:rStyle w:val="s31"/>
          <w:rFonts w:ascii="Arial" w:hAnsi="Arial" w:cs="Arial"/>
          <w:lang/>
        </w:rPr>
        <w:t>FA</w:t>
      </w:r>
      <w:r>
        <w:rPr>
          <w:rStyle w:val="s31"/>
          <w:rFonts w:ascii="Arial" w:hAnsi="Arial" w:cs="Arial"/>
          <w:lang/>
        </w:rPr>
        <w:t>地块</w:t>
      </w:r>
      <w:r>
        <w:rPr>
          <w:rStyle w:val="s31"/>
          <w:rFonts w:hint="eastAsia"/>
          <w:lang/>
        </w:rPr>
        <w:t>≦</w:t>
      </w:r>
      <w:r>
        <w:rPr>
          <w:rStyle w:val="s31"/>
          <w:rFonts w:ascii="Arial" w:hAnsi="Arial" w:cs="Arial"/>
          <w:lang/>
        </w:rPr>
        <w:t>FA</w:t>
      </w:r>
      <w:r>
        <w:rPr>
          <w:rStyle w:val="s31"/>
          <w:rFonts w:ascii="Arial" w:hAnsi="Arial" w:cs="Arial"/>
          <w:lang/>
        </w:rPr>
        <w:t>基础</w:t>
      </w:r>
      <w:r>
        <w:rPr>
          <w:rStyle w:val="s31"/>
          <w:rFonts w:ascii="Arial" w:hAnsi="Arial" w:cs="Arial"/>
          <w:lang/>
        </w:rPr>
        <w:t>+FA</w:t>
      </w:r>
      <w:r>
        <w:rPr>
          <w:rStyle w:val="s31"/>
          <w:rFonts w:ascii="Arial" w:hAnsi="Arial" w:cs="Arial"/>
          <w:lang/>
        </w:rPr>
        <w:t>奖励</w:t>
      </w:r>
      <w:r>
        <w:rPr>
          <w:rStyle w:val="s31"/>
          <w:rFonts w:ascii="Arial" w:hAnsi="Arial" w:cs="Arial"/>
          <w:lang/>
        </w:rPr>
        <w:t>+FA</w:t>
      </w:r>
      <w:r>
        <w:rPr>
          <w:rStyle w:val="s31"/>
          <w:rFonts w:ascii="Arial" w:hAnsi="Arial" w:cs="Arial"/>
          <w:lang/>
        </w:rPr>
        <w:t>补偿</w:t>
      </w:r>
      <w:r>
        <w:rPr>
          <w:rStyle w:val="s31"/>
          <w:rFonts w:ascii="Arial" w:hAnsi="Arial" w:cs="Arial"/>
          <w:lang/>
        </w:rPr>
        <w:t>(</w:t>
      </w:r>
      <w:r>
        <w:rPr>
          <w:rStyle w:val="s31"/>
          <w:rFonts w:ascii="Arial" w:hAnsi="Arial" w:cs="Arial"/>
          <w:lang/>
        </w:rPr>
        <w:t>公式</w:t>
      </w:r>
      <w:r>
        <w:rPr>
          <w:rStyle w:val="s31"/>
          <w:rFonts w:ascii="Arial" w:hAnsi="Arial" w:cs="Arial"/>
          <w:lang/>
        </w:rPr>
        <w:t>4)</w:t>
      </w:r>
      <w:r>
        <w:rPr>
          <w:rStyle w:val="s31"/>
          <w:rFonts w:ascii="Arial" w:hAnsi="Arial" w:cs="Arial"/>
          <w:lang/>
        </w:rPr>
        <w:t>；</w:t>
      </w:r>
    </w:p>
    <w:p w:rsidR="00D5746B" w:rsidRDefault="00D5746B" w:rsidP="00D5746B">
      <w:pPr>
        <w:pStyle w:val="p5"/>
        <w:rPr>
          <w:rFonts w:ascii="Arial" w:hAnsi="Arial" w:cs="Arial"/>
          <w:color w:val="111111"/>
          <w:lang/>
        </w:rPr>
      </w:pPr>
      <w:r>
        <w:rPr>
          <w:rStyle w:val="s31"/>
          <w:rFonts w:ascii="Arial" w:hAnsi="Arial" w:cs="Arial"/>
          <w:lang/>
        </w:rPr>
        <w:lastRenderedPageBreak/>
        <w:t>FA</w:t>
      </w:r>
      <w:r>
        <w:rPr>
          <w:rStyle w:val="s31"/>
          <w:rFonts w:ascii="Arial" w:hAnsi="Arial" w:cs="Arial"/>
          <w:lang/>
        </w:rPr>
        <w:t>基础</w:t>
      </w:r>
      <w:r>
        <w:rPr>
          <w:rStyle w:val="s31"/>
          <w:rFonts w:ascii="Arial" w:hAnsi="Arial" w:cs="Arial"/>
          <w:lang/>
        </w:rPr>
        <w:t>=FAR</w:t>
      </w:r>
      <w:r>
        <w:rPr>
          <w:rStyle w:val="s31"/>
          <w:rFonts w:ascii="Arial" w:hAnsi="Arial" w:cs="Arial"/>
          <w:lang/>
        </w:rPr>
        <w:t>基准</w:t>
      </w:r>
      <w:r>
        <w:rPr>
          <w:rStyle w:val="s31"/>
          <w:rFonts w:ascii="Arial" w:hAnsi="Arial" w:cs="Arial"/>
          <w:lang/>
        </w:rPr>
        <w:t>xA1x(1-A2)x(1+A3)x(1+A4)x(1+A5)</w:t>
      </w:r>
      <w:proofErr w:type="spellStart"/>
      <w:r>
        <w:rPr>
          <w:rStyle w:val="s31"/>
          <w:rFonts w:ascii="Arial" w:hAnsi="Arial" w:cs="Arial"/>
          <w:lang/>
        </w:rPr>
        <w:t>xS</w:t>
      </w:r>
      <w:proofErr w:type="spellEnd"/>
      <w:r>
        <w:rPr>
          <w:rStyle w:val="s31"/>
          <w:rFonts w:ascii="Arial" w:hAnsi="Arial" w:cs="Arial"/>
          <w:lang/>
        </w:rPr>
        <w:t>(</w:t>
      </w:r>
      <w:r>
        <w:rPr>
          <w:rStyle w:val="s31"/>
          <w:rFonts w:ascii="Arial" w:hAnsi="Arial" w:cs="Arial"/>
          <w:lang/>
        </w:rPr>
        <w:t>公式</w:t>
      </w:r>
      <w:r>
        <w:rPr>
          <w:rStyle w:val="s31"/>
          <w:rFonts w:ascii="Arial" w:hAnsi="Arial" w:cs="Arial"/>
          <w:lang/>
        </w:rPr>
        <w:t>5)</w:t>
      </w:r>
      <w:r>
        <w:rPr>
          <w:rStyle w:val="s31"/>
          <w:rFonts w:ascii="Arial" w:hAnsi="Arial" w:cs="Arial"/>
          <w:lang/>
        </w:rPr>
        <w:t>；</w:t>
      </w:r>
    </w:p>
    <w:p w:rsidR="00D5746B" w:rsidRDefault="00D5746B" w:rsidP="00D5746B">
      <w:pPr>
        <w:pStyle w:val="p5"/>
        <w:rPr>
          <w:rFonts w:ascii="Arial" w:hAnsi="Arial" w:cs="Arial"/>
          <w:color w:val="111111"/>
          <w:lang/>
        </w:rPr>
      </w:pPr>
      <w:r>
        <w:rPr>
          <w:rStyle w:val="s31"/>
          <w:rFonts w:ascii="Arial" w:hAnsi="Arial" w:cs="Arial"/>
          <w:lang/>
        </w:rPr>
        <w:t>式中</w:t>
      </w:r>
      <w:r>
        <w:rPr>
          <w:rStyle w:val="s31"/>
          <w:rFonts w:ascii="Arial" w:hAnsi="Arial" w:cs="Arial"/>
          <w:lang/>
        </w:rPr>
        <w:t>:FA</w:t>
      </w:r>
      <w:r>
        <w:rPr>
          <w:rStyle w:val="s31"/>
          <w:rFonts w:ascii="Arial" w:hAnsi="Arial" w:cs="Arial"/>
          <w:lang/>
        </w:rPr>
        <w:t>地块</w:t>
      </w:r>
      <w:r>
        <w:rPr>
          <w:rStyle w:val="s31"/>
          <w:rFonts w:ascii="Arial" w:hAnsi="Arial" w:cs="Arial"/>
          <w:lang/>
        </w:rPr>
        <w:t>--</w:t>
      </w:r>
      <w:r>
        <w:rPr>
          <w:rStyle w:val="s31"/>
          <w:rFonts w:ascii="Arial" w:hAnsi="Arial" w:cs="Arial"/>
          <w:lang/>
        </w:rPr>
        <w:t>地块总建筑面积；</w:t>
      </w:r>
    </w:p>
    <w:p w:rsidR="00D5746B" w:rsidRDefault="00D5746B" w:rsidP="00D5746B">
      <w:pPr>
        <w:pStyle w:val="p4"/>
        <w:rPr>
          <w:rFonts w:ascii="Arial" w:hAnsi="Arial" w:cs="Arial"/>
          <w:color w:val="111111"/>
          <w:lang/>
        </w:rPr>
      </w:pPr>
      <w:r>
        <w:rPr>
          <w:rStyle w:val="s31"/>
          <w:rFonts w:ascii="Arial" w:hAnsi="Arial" w:cs="Arial"/>
          <w:lang/>
        </w:rPr>
        <w:t>FA</w:t>
      </w:r>
      <w:r>
        <w:rPr>
          <w:rStyle w:val="s31"/>
          <w:rFonts w:ascii="Arial" w:hAnsi="Arial" w:cs="Arial"/>
          <w:lang/>
        </w:rPr>
        <w:t>基础</w:t>
      </w:r>
      <w:r>
        <w:rPr>
          <w:rStyle w:val="s31"/>
          <w:rFonts w:ascii="Arial" w:hAnsi="Arial" w:cs="Arial"/>
          <w:lang/>
        </w:rPr>
        <w:t>--</w:t>
      </w:r>
      <w:r>
        <w:rPr>
          <w:rStyle w:val="s31"/>
          <w:rFonts w:ascii="Arial" w:hAnsi="Arial" w:cs="Arial"/>
          <w:lang/>
        </w:rPr>
        <w:t>地块基础建筑面积；</w:t>
      </w:r>
    </w:p>
    <w:p w:rsidR="00D5746B" w:rsidRDefault="00D5746B" w:rsidP="00D5746B">
      <w:pPr>
        <w:pStyle w:val="p4"/>
        <w:rPr>
          <w:rFonts w:ascii="Arial" w:hAnsi="Arial" w:cs="Arial"/>
          <w:color w:val="111111"/>
          <w:lang/>
        </w:rPr>
      </w:pPr>
      <w:r>
        <w:rPr>
          <w:rStyle w:val="s31"/>
          <w:rFonts w:ascii="Arial" w:hAnsi="Arial" w:cs="Arial"/>
          <w:lang/>
        </w:rPr>
        <w:t>FA</w:t>
      </w:r>
      <w:r>
        <w:rPr>
          <w:rStyle w:val="s31"/>
          <w:rFonts w:ascii="Arial" w:hAnsi="Arial" w:cs="Arial"/>
          <w:lang/>
        </w:rPr>
        <w:t>奖励</w:t>
      </w:r>
      <w:r>
        <w:rPr>
          <w:rStyle w:val="s31"/>
          <w:rFonts w:ascii="Arial" w:hAnsi="Arial" w:cs="Arial"/>
          <w:lang/>
        </w:rPr>
        <w:t>--</w:t>
      </w:r>
      <w:r>
        <w:rPr>
          <w:rStyle w:val="s31"/>
          <w:rFonts w:ascii="Arial" w:hAnsi="Arial" w:cs="Arial"/>
          <w:lang/>
        </w:rPr>
        <w:t>地块奖励建筑面积；</w:t>
      </w:r>
    </w:p>
    <w:p w:rsidR="00D5746B" w:rsidRDefault="00D5746B" w:rsidP="00D5746B">
      <w:pPr>
        <w:pStyle w:val="p4"/>
        <w:rPr>
          <w:rFonts w:ascii="Arial" w:hAnsi="Arial" w:cs="Arial"/>
          <w:color w:val="111111"/>
          <w:lang/>
        </w:rPr>
      </w:pPr>
      <w:r>
        <w:rPr>
          <w:rStyle w:val="s31"/>
          <w:rFonts w:ascii="Arial" w:hAnsi="Arial" w:cs="Arial"/>
          <w:lang/>
        </w:rPr>
        <w:t>FA</w:t>
      </w:r>
      <w:r>
        <w:rPr>
          <w:rStyle w:val="s31"/>
          <w:rFonts w:ascii="Arial" w:hAnsi="Arial" w:cs="Arial"/>
          <w:lang/>
        </w:rPr>
        <w:t>补偿</w:t>
      </w:r>
      <w:r>
        <w:rPr>
          <w:rStyle w:val="s31"/>
          <w:rFonts w:ascii="Arial" w:hAnsi="Arial" w:cs="Arial"/>
          <w:lang/>
        </w:rPr>
        <w:t>--</w:t>
      </w:r>
      <w:r>
        <w:rPr>
          <w:rStyle w:val="s31"/>
          <w:rFonts w:ascii="Arial" w:hAnsi="Arial" w:cs="Arial"/>
          <w:lang/>
        </w:rPr>
        <w:t>地块补偿建筑面积；</w:t>
      </w:r>
    </w:p>
    <w:p w:rsidR="00D5746B" w:rsidRDefault="00D5746B" w:rsidP="00D5746B">
      <w:pPr>
        <w:pStyle w:val="p4"/>
        <w:rPr>
          <w:rFonts w:ascii="Arial" w:hAnsi="Arial" w:cs="Arial"/>
          <w:color w:val="111111"/>
          <w:lang/>
        </w:rPr>
      </w:pPr>
      <w:r>
        <w:rPr>
          <w:rStyle w:val="s31"/>
          <w:rFonts w:ascii="Arial" w:hAnsi="Arial" w:cs="Arial"/>
          <w:lang/>
        </w:rPr>
        <w:t>FAR</w:t>
      </w:r>
      <w:r>
        <w:rPr>
          <w:rStyle w:val="s31"/>
          <w:rFonts w:ascii="Arial" w:hAnsi="Arial" w:cs="Arial"/>
          <w:lang/>
        </w:rPr>
        <w:t>基准</w:t>
      </w:r>
      <w:r>
        <w:rPr>
          <w:rStyle w:val="s31"/>
          <w:rFonts w:ascii="Arial" w:hAnsi="Arial" w:cs="Arial"/>
          <w:lang/>
        </w:rPr>
        <w:t>--</w:t>
      </w:r>
      <w:r>
        <w:rPr>
          <w:rStyle w:val="s31"/>
          <w:rFonts w:ascii="Arial" w:hAnsi="Arial" w:cs="Arial"/>
          <w:lang/>
        </w:rPr>
        <w:t>基准容积率；</w:t>
      </w:r>
    </w:p>
    <w:p w:rsidR="00D5746B" w:rsidRDefault="00D5746B" w:rsidP="00D5746B">
      <w:pPr>
        <w:pStyle w:val="p4"/>
        <w:rPr>
          <w:rFonts w:ascii="Arial" w:hAnsi="Arial" w:cs="Arial"/>
          <w:color w:val="111111"/>
          <w:lang/>
        </w:rPr>
      </w:pPr>
      <w:r>
        <w:rPr>
          <w:rStyle w:val="s31"/>
          <w:rFonts w:ascii="Arial" w:hAnsi="Arial" w:cs="Arial"/>
          <w:lang/>
        </w:rPr>
        <w:t>A1--</w:t>
      </w:r>
      <w:r>
        <w:rPr>
          <w:rStyle w:val="s31"/>
          <w:rFonts w:ascii="Arial" w:hAnsi="Arial" w:cs="Arial"/>
          <w:lang/>
        </w:rPr>
        <w:t>组团特征修正系数；</w:t>
      </w:r>
    </w:p>
    <w:p w:rsidR="00D5746B" w:rsidRDefault="00D5746B" w:rsidP="00D5746B">
      <w:pPr>
        <w:pStyle w:val="p4"/>
        <w:rPr>
          <w:rFonts w:ascii="Arial" w:hAnsi="Arial" w:cs="Arial"/>
          <w:color w:val="111111"/>
          <w:lang/>
        </w:rPr>
      </w:pPr>
      <w:r>
        <w:rPr>
          <w:rStyle w:val="s31"/>
          <w:rFonts w:ascii="Arial" w:hAnsi="Arial" w:cs="Arial"/>
          <w:lang/>
        </w:rPr>
        <w:t>A2--</w:t>
      </w:r>
      <w:r>
        <w:rPr>
          <w:rStyle w:val="s31"/>
          <w:rFonts w:ascii="Arial" w:hAnsi="Arial" w:cs="Arial"/>
          <w:lang/>
        </w:rPr>
        <w:t>地块规模修正系数；</w:t>
      </w:r>
    </w:p>
    <w:p w:rsidR="00D5746B" w:rsidRDefault="00D5746B" w:rsidP="00D5746B">
      <w:pPr>
        <w:pStyle w:val="p4"/>
        <w:rPr>
          <w:rFonts w:ascii="Arial" w:hAnsi="Arial" w:cs="Arial"/>
          <w:color w:val="111111"/>
          <w:lang/>
        </w:rPr>
      </w:pPr>
      <w:r>
        <w:rPr>
          <w:rStyle w:val="s31"/>
          <w:rFonts w:ascii="Arial" w:hAnsi="Arial" w:cs="Arial"/>
          <w:lang/>
        </w:rPr>
        <w:t>A3--</w:t>
      </w:r>
      <w:r>
        <w:rPr>
          <w:rStyle w:val="s31"/>
          <w:rFonts w:ascii="Arial" w:hAnsi="Arial" w:cs="Arial"/>
          <w:lang/>
        </w:rPr>
        <w:t>周边道路修正系数；</w:t>
      </w:r>
    </w:p>
    <w:p w:rsidR="00D5746B" w:rsidRDefault="00D5746B" w:rsidP="00D5746B">
      <w:pPr>
        <w:pStyle w:val="p4"/>
        <w:rPr>
          <w:rFonts w:ascii="Arial" w:hAnsi="Arial" w:cs="Arial"/>
          <w:color w:val="111111"/>
          <w:lang/>
        </w:rPr>
      </w:pPr>
      <w:r>
        <w:rPr>
          <w:rStyle w:val="s31"/>
          <w:rFonts w:ascii="Arial" w:hAnsi="Arial" w:cs="Arial"/>
          <w:lang/>
        </w:rPr>
        <w:t>A4--</w:t>
      </w:r>
      <w:r>
        <w:rPr>
          <w:rStyle w:val="s31"/>
          <w:rFonts w:ascii="Arial" w:hAnsi="Arial" w:cs="Arial"/>
          <w:lang/>
        </w:rPr>
        <w:t>地铁站点修正系数；</w:t>
      </w:r>
    </w:p>
    <w:p w:rsidR="00D5746B" w:rsidRDefault="00D5746B" w:rsidP="00D5746B">
      <w:pPr>
        <w:pStyle w:val="p4"/>
        <w:rPr>
          <w:rFonts w:ascii="Arial" w:hAnsi="Arial" w:cs="Arial"/>
          <w:color w:val="111111"/>
          <w:lang/>
        </w:rPr>
      </w:pPr>
      <w:r>
        <w:rPr>
          <w:rStyle w:val="s31"/>
          <w:rFonts w:ascii="Arial" w:hAnsi="Arial" w:cs="Arial"/>
          <w:lang/>
        </w:rPr>
        <w:t>A5--</w:t>
      </w:r>
      <w:r>
        <w:rPr>
          <w:rStyle w:val="s31"/>
          <w:rFonts w:ascii="Arial" w:hAnsi="Arial" w:cs="Arial"/>
          <w:lang/>
        </w:rPr>
        <w:t>特别政策修正系数；</w:t>
      </w:r>
    </w:p>
    <w:p w:rsidR="00D5746B" w:rsidRDefault="00D5746B" w:rsidP="00D5746B">
      <w:pPr>
        <w:pStyle w:val="p4"/>
        <w:rPr>
          <w:rFonts w:ascii="Arial" w:hAnsi="Arial" w:cs="Arial"/>
          <w:color w:val="111111"/>
          <w:lang/>
        </w:rPr>
      </w:pPr>
      <w:r>
        <w:rPr>
          <w:rStyle w:val="s31"/>
          <w:rFonts w:ascii="Arial" w:hAnsi="Arial" w:cs="Arial"/>
          <w:lang/>
        </w:rPr>
        <w:t>S--</w:t>
      </w:r>
      <w:r>
        <w:rPr>
          <w:rStyle w:val="s31"/>
          <w:rFonts w:ascii="Arial" w:hAnsi="Arial" w:cs="Arial"/>
          <w:lang/>
        </w:rPr>
        <w:t>地块面积。</w:t>
      </w:r>
    </w:p>
    <w:p w:rsidR="00D5746B" w:rsidRDefault="00D5746B" w:rsidP="00D5746B">
      <w:pPr>
        <w:pStyle w:val="p4"/>
        <w:rPr>
          <w:rFonts w:ascii="Arial" w:hAnsi="Arial" w:cs="Arial"/>
          <w:color w:val="111111"/>
          <w:lang/>
        </w:rPr>
      </w:pPr>
      <w:r>
        <w:rPr>
          <w:rStyle w:val="s31"/>
          <w:rFonts w:ascii="Arial" w:hAnsi="Arial" w:cs="Arial"/>
          <w:lang/>
        </w:rPr>
        <w:t>(</w:t>
      </w:r>
      <w:r>
        <w:rPr>
          <w:rStyle w:val="s31"/>
          <w:rFonts w:ascii="Arial" w:hAnsi="Arial" w:cs="Arial"/>
          <w:lang/>
        </w:rPr>
        <w:t>三</w:t>
      </w:r>
      <w:r>
        <w:rPr>
          <w:rStyle w:val="s31"/>
          <w:rFonts w:ascii="Arial" w:hAnsi="Arial" w:cs="Arial"/>
          <w:lang/>
        </w:rPr>
        <w:t>)</w:t>
      </w:r>
      <w:r>
        <w:rPr>
          <w:rStyle w:val="s31"/>
          <w:rFonts w:ascii="Arial" w:hAnsi="Arial" w:cs="Arial"/>
          <w:lang/>
        </w:rPr>
        <w:t>关于基础建筑规模的规定</w:t>
      </w:r>
    </w:p>
    <w:p w:rsidR="00D5746B" w:rsidRDefault="00D5746B" w:rsidP="00D5746B">
      <w:pPr>
        <w:pStyle w:val="p4"/>
        <w:rPr>
          <w:rFonts w:ascii="Arial" w:hAnsi="Arial" w:cs="Arial"/>
          <w:color w:val="111111"/>
          <w:lang/>
        </w:rPr>
      </w:pPr>
      <w:r>
        <w:rPr>
          <w:rStyle w:val="s31"/>
          <w:rFonts w:ascii="Arial" w:hAnsi="Arial" w:cs="Arial"/>
          <w:lang/>
        </w:rPr>
        <w:t>在前期研究报告阶段计算的各地</w:t>
      </w:r>
      <w:proofErr w:type="gramStart"/>
      <w:r>
        <w:rPr>
          <w:rStyle w:val="s31"/>
          <w:rFonts w:ascii="Arial" w:hAnsi="Arial" w:cs="Arial"/>
          <w:lang/>
        </w:rPr>
        <w:t>块基础</w:t>
      </w:r>
      <w:proofErr w:type="gramEnd"/>
      <w:r>
        <w:rPr>
          <w:rStyle w:val="s31"/>
          <w:rFonts w:ascii="Arial" w:hAnsi="Arial" w:cs="Arial"/>
          <w:lang/>
        </w:rPr>
        <w:t>建筑规模之和不得突破更新单元划定阶段确定的更新单元基础建筑规模。</w:t>
      </w:r>
    </w:p>
    <w:p w:rsidR="00D5746B" w:rsidRDefault="00D5746B" w:rsidP="00D5746B">
      <w:pPr>
        <w:pStyle w:val="p4"/>
        <w:rPr>
          <w:rFonts w:ascii="Arial" w:hAnsi="Arial" w:cs="Arial"/>
          <w:color w:val="111111"/>
          <w:lang/>
        </w:rPr>
      </w:pPr>
      <w:r>
        <w:rPr>
          <w:rStyle w:val="s21"/>
          <w:rFonts w:ascii="Arial" w:hAnsi="Arial" w:cs="Arial"/>
          <w:lang/>
        </w:rPr>
        <w:t>三、基准容积率</w:t>
      </w:r>
    </w:p>
    <w:p w:rsidR="00D5746B" w:rsidRDefault="00D5746B" w:rsidP="00D5746B">
      <w:pPr>
        <w:pStyle w:val="p4"/>
        <w:rPr>
          <w:rFonts w:ascii="Arial" w:hAnsi="Arial" w:cs="Arial"/>
          <w:color w:val="111111"/>
          <w:lang/>
        </w:rPr>
      </w:pPr>
      <w:r>
        <w:rPr>
          <w:rStyle w:val="s31"/>
          <w:rFonts w:ascii="Arial" w:hAnsi="Arial" w:cs="Arial"/>
          <w:lang/>
        </w:rPr>
        <w:lastRenderedPageBreak/>
        <w:t>根据我市密度分区构建思路，我市城市建设用地密度分区分五个等级</w:t>
      </w:r>
      <w:r>
        <w:rPr>
          <w:rStyle w:val="s31"/>
          <w:rFonts w:ascii="Arial" w:hAnsi="Arial" w:cs="Arial"/>
          <w:lang/>
        </w:rPr>
        <w:t>,</w:t>
      </w:r>
      <w:r>
        <w:rPr>
          <w:rStyle w:val="s31"/>
          <w:rFonts w:ascii="Arial" w:hAnsi="Arial" w:cs="Arial"/>
          <w:lang/>
        </w:rPr>
        <w:t>各类建设用地密度分区等级应按照表</w:t>
      </w:r>
      <w:r>
        <w:rPr>
          <w:rStyle w:val="s31"/>
          <w:rFonts w:ascii="Arial" w:hAnsi="Arial" w:cs="Arial"/>
          <w:lang/>
        </w:rPr>
        <w:t>1</w:t>
      </w:r>
      <w:r>
        <w:rPr>
          <w:rStyle w:val="s31"/>
          <w:rFonts w:ascii="Arial" w:hAnsi="Arial" w:cs="Arial"/>
          <w:lang/>
        </w:rPr>
        <w:t>执行。</w:t>
      </w:r>
    </w:p>
    <w:p w:rsidR="00D5746B" w:rsidRDefault="00D5746B" w:rsidP="00D5746B">
      <w:pPr>
        <w:pStyle w:val="p3"/>
        <w:rPr>
          <w:rFonts w:ascii="Arial" w:hAnsi="Arial" w:cs="Arial"/>
          <w:color w:val="111111"/>
          <w:lang/>
        </w:rPr>
      </w:pPr>
      <w:r>
        <w:rPr>
          <w:rStyle w:val="s21"/>
          <w:rFonts w:ascii="Arial" w:hAnsi="Arial" w:cs="Arial"/>
          <w:lang/>
        </w:rPr>
        <w:t>表</w:t>
      </w:r>
      <w:r>
        <w:rPr>
          <w:rStyle w:val="s21"/>
          <w:rFonts w:ascii="Arial" w:hAnsi="Arial" w:cs="Arial"/>
          <w:lang/>
        </w:rPr>
        <w:t>1</w:t>
      </w:r>
      <w:r>
        <w:rPr>
          <w:rStyle w:val="s21"/>
          <w:rFonts w:ascii="Arial" w:hAnsi="Arial" w:cs="Arial"/>
          <w:lang/>
        </w:rPr>
        <w:t>城市建设用地密度分区等级基本规定</w:t>
      </w:r>
    </w:p>
    <w:tbl>
      <w:tblPr>
        <w:tblW w:w="0" w:type="auto"/>
        <w:jc w:val="center"/>
        <w:tblCellSpacing w:w="15" w:type="dxa"/>
        <w:tblCellMar>
          <w:top w:w="15" w:type="dxa"/>
          <w:left w:w="15" w:type="dxa"/>
          <w:bottom w:w="15" w:type="dxa"/>
          <w:right w:w="15" w:type="dxa"/>
        </w:tblCellMar>
        <w:tblLook w:val="04A0"/>
      </w:tblPr>
      <w:tblGrid>
        <w:gridCol w:w="1115"/>
        <w:gridCol w:w="1982"/>
        <w:gridCol w:w="5299"/>
      </w:tblGrid>
      <w:tr w:rsidR="00D5746B" w:rsidTr="00A1279F">
        <w:trPr>
          <w:tblCellSpacing w:w="15" w:type="dxa"/>
          <w:jc w:val="center"/>
        </w:trPr>
        <w:tc>
          <w:tcPr>
            <w:tcW w:w="1096"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3"/>
              <w:rPr>
                <w:rFonts w:ascii="Arial" w:hAnsi="Arial" w:cs="Arial"/>
                <w:color w:val="111111"/>
              </w:rPr>
            </w:pPr>
            <w:r>
              <w:rPr>
                <w:rStyle w:val="s31"/>
                <w:rFonts w:ascii="Arial" w:hAnsi="Arial" w:cs="Arial"/>
              </w:rPr>
              <w:t>序号</w:t>
            </w:r>
          </w:p>
        </w:tc>
        <w:tc>
          <w:tcPr>
            <w:tcW w:w="20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3"/>
              <w:rPr>
                <w:rFonts w:ascii="Arial" w:hAnsi="Arial" w:cs="Arial"/>
                <w:color w:val="111111"/>
              </w:rPr>
            </w:pPr>
            <w:r>
              <w:rPr>
                <w:rStyle w:val="s31"/>
                <w:rFonts w:ascii="Arial" w:hAnsi="Arial" w:cs="Arial"/>
              </w:rPr>
              <w:t>市域密度分级</w:t>
            </w:r>
          </w:p>
        </w:tc>
        <w:tc>
          <w:tcPr>
            <w:tcW w:w="5416"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3"/>
              <w:rPr>
                <w:rFonts w:ascii="Arial" w:hAnsi="Arial" w:cs="Arial"/>
                <w:color w:val="111111"/>
              </w:rPr>
            </w:pPr>
            <w:r>
              <w:rPr>
                <w:rStyle w:val="s31"/>
                <w:rFonts w:ascii="Arial" w:hAnsi="Arial" w:cs="Arial"/>
              </w:rPr>
              <w:t>园区、镇街密度分区</w:t>
            </w:r>
          </w:p>
        </w:tc>
      </w:tr>
      <w:tr w:rsidR="00D5746B" w:rsidTr="00A1279F">
        <w:trPr>
          <w:trHeight w:val="213"/>
          <w:tblCellSpacing w:w="15" w:type="dxa"/>
          <w:jc w:val="center"/>
        </w:trPr>
        <w:tc>
          <w:tcPr>
            <w:tcW w:w="1096" w:type="dxa"/>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3"/>
              <w:spacing w:line="213" w:lineRule="atLeast"/>
              <w:rPr>
                <w:rFonts w:ascii="Arial" w:hAnsi="Arial" w:cs="Arial"/>
                <w:color w:val="111111"/>
              </w:rPr>
            </w:pPr>
            <w:r>
              <w:rPr>
                <w:rStyle w:val="s31"/>
                <w:rFonts w:ascii="Arial" w:hAnsi="Arial" w:cs="Arial"/>
              </w:rPr>
              <w:t>1</w:t>
            </w:r>
          </w:p>
        </w:tc>
        <w:tc>
          <w:tcPr>
            <w:tcW w:w="2009" w:type="dxa"/>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3"/>
              <w:spacing w:line="213" w:lineRule="atLeast"/>
              <w:rPr>
                <w:rFonts w:ascii="Arial" w:hAnsi="Arial" w:cs="Arial"/>
                <w:color w:val="111111"/>
              </w:rPr>
            </w:pPr>
            <w:r>
              <w:rPr>
                <w:rStyle w:val="s31"/>
                <w:rFonts w:ascii="Arial" w:hAnsi="Arial" w:cs="Arial"/>
              </w:rPr>
              <w:t>高密度级</w:t>
            </w:r>
          </w:p>
        </w:tc>
        <w:tc>
          <w:tcPr>
            <w:tcW w:w="5416"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6"/>
              <w:spacing w:line="213" w:lineRule="atLeast"/>
              <w:rPr>
                <w:rFonts w:ascii="Arial" w:hAnsi="Arial" w:cs="Arial"/>
                <w:color w:val="111111"/>
              </w:rPr>
            </w:pPr>
            <w:r>
              <w:rPr>
                <w:rStyle w:val="s31"/>
                <w:rFonts w:ascii="Arial" w:hAnsi="Arial" w:cs="Arial"/>
              </w:rPr>
              <w:t>密度一区</w:t>
            </w:r>
          </w:p>
        </w:tc>
      </w:tr>
      <w:tr w:rsidR="00D5746B" w:rsidTr="00A1279F">
        <w:trPr>
          <w:trHeight w:val="213"/>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D5746B" w:rsidRDefault="00D5746B" w:rsidP="00A1279F">
            <w:pPr>
              <w:rPr>
                <w:rFonts w:ascii="Arial" w:hAnsi="Arial" w:cs="Arial"/>
                <w:color w:val="111111"/>
                <w:sz w:val="28"/>
                <w:szCs w:val="28"/>
              </w:rPr>
            </w:pPr>
          </w:p>
        </w:tc>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D5746B" w:rsidRDefault="00D5746B" w:rsidP="00A1279F">
            <w:pPr>
              <w:rPr>
                <w:rFonts w:ascii="Arial" w:hAnsi="Arial" w:cs="Arial"/>
                <w:color w:val="111111"/>
                <w:sz w:val="28"/>
                <w:szCs w:val="28"/>
              </w:rPr>
            </w:pPr>
          </w:p>
        </w:tc>
        <w:tc>
          <w:tcPr>
            <w:tcW w:w="5416"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6"/>
              <w:spacing w:line="213" w:lineRule="atLeast"/>
              <w:rPr>
                <w:rFonts w:ascii="Arial" w:hAnsi="Arial" w:cs="Arial"/>
                <w:color w:val="111111"/>
              </w:rPr>
            </w:pPr>
            <w:r>
              <w:rPr>
                <w:rStyle w:val="s31"/>
                <w:rFonts w:ascii="Arial" w:hAnsi="Arial" w:cs="Arial"/>
              </w:rPr>
              <w:t>密度二区</w:t>
            </w:r>
          </w:p>
        </w:tc>
      </w:tr>
      <w:tr w:rsidR="00D5746B" w:rsidTr="00A1279F">
        <w:trPr>
          <w:trHeight w:val="219"/>
          <w:tblCellSpacing w:w="15" w:type="dxa"/>
          <w:jc w:val="center"/>
        </w:trPr>
        <w:tc>
          <w:tcPr>
            <w:tcW w:w="1096" w:type="dxa"/>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3"/>
              <w:spacing w:line="219" w:lineRule="atLeast"/>
              <w:rPr>
                <w:rFonts w:ascii="Arial" w:hAnsi="Arial" w:cs="Arial"/>
                <w:color w:val="111111"/>
              </w:rPr>
            </w:pPr>
            <w:r>
              <w:rPr>
                <w:rStyle w:val="s31"/>
                <w:rFonts w:ascii="Arial" w:hAnsi="Arial" w:cs="Arial"/>
              </w:rPr>
              <w:t>2</w:t>
            </w:r>
          </w:p>
        </w:tc>
        <w:tc>
          <w:tcPr>
            <w:tcW w:w="2009" w:type="dxa"/>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3"/>
              <w:spacing w:line="219" w:lineRule="atLeast"/>
              <w:rPr>
                <w:rFonts w:ascii="Arial" w:hAnsi="Arial" w:cs="Arial"/>
                <w:color w:val="111111"/>
              </w:rPr>
            </w:pPr>
            <w:r>
              <w:rPr>
                <w:rStyle w:val="s31"/>
                <w:rFonts w:ascii="Arial" w:hAnsi="Arial" w:cs="Arial"/>
              </w:rPr>
              <w:t>中密度级</w:t>
            </w:r>
          </w:p>
        </w:tc>
        <w:tc>
          <w:tcPr>
            <w:tcW w:w="5416"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6"/>
              <w:spacing w:line="219" w:lineRule="atLeast"/>
              <w:rPr>
                <w:rFonts w:ascii="Arial" w:hAnsi="Arial" w:cs="Arial"/>
                <w:color w:val="111111"/>
              </w:rPr>
            </w:pPr>
            <w:r>
              <w:rPr>
                <w:rStyle w:val="s31"/>
                <w:rFonts w:ascii="Arial" w:hAnsi="Arial" w:cs="Arial"/>
              </w:rPr>
              <w:t>密度三区</w:t>
            </w:r>
          </w:p>
        </w:tc>
      </w:tr>
      <w:tr w:rsidR="00D5746B" w:rsidTr="00A1279F">
        <w:trPr>
          <w:trHeight w:val="219"/>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D5746B" w:rsidRDefault="00D5746B" w:rsidP="00A1279F">
            <w:pPr>
              <w:rPr>
                <w:rFonts w:ascii="Arial" w:hAnsi="Arial" w:cs="Arial"/>
                <w:color w:val="111111"/>
                <w:sz w:val="28"/>
                <w:szCs w:val="28"/>
              </w:rPr>
            </w:pPr>
          </w:p>
        </w:tc>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D5746B" w:rsidRDefault="00D5746B" w:rsidP="00A1279F">
            <w:pPr>
              <w:rPr>
                <w:rFonts w:ascii="Arial" w:hAnsi="Arial" w:cs="Arial"/>
                <w:color w:val="111111"/>
                <w:sz w:val="28"/>
                <w:szCs w:val="28"/>
              </w:rPr>
            </w:pPr>
          </w:p>
        </w:tc>
        <w:tc>
          <w:tcPr>
            <w:tcW w:w="5416"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6"/>
              <w:spacing w:line="219" w:lineRule="atLeast"/>
              <w:rPr>
                <w:rFonts w:ascii="Arial" w:hAnsi="Arial" w:cs="Arial"/>
                <w:color w:val="111111"/>
              </w:rPr>
            </w:pPr>
            <w:r>
              <w:rPr>
                <w:rStyle w:val="s31"/>
                <w:rFonts w:ascii="Arial" w:hAnsi="Arial" w:cs="Arial"/>
              </w:rPr>
              <w:t>密度四区</w:t>
            </w:r>
          </w:p>
        </w:tc>
      </w:tr>
      <w:tr w:rsidR="00D5746B" w:rsidTr="00A1279F">
        <w:trPr>
          <w:trHeight w:val="219"/>
          <w:tblCellSpacing w:w="15" w:type="dxa"/>
          <w:jc w:val="center"/>
        </w:trPr>
        <w:tc>
          <w:tcPr>
            <w:tcW w:w="1096"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3"/>
              <w:spacing w:line="219" w:lineRule="atLeast"/>
              <w:rPr>
                <w:rFonts w:ascii="Arial" w:hAnsi="Arial" w:cs="Arial"/>
                <w:color w:val="111111"/>
              </w:rPr>
            </w:pPr>
            <w:r>
              <w:rPr>
                <w:rFonts w:ascii="Arial" w:hAnsi="Arial" w:cs="Arial"/>
                <w:color w:val="111111"/>
              </w:rPr>
              <w:t>3</w:t>
            </w:r>
          </w:p>
        </w:tc>
        <w:tc>
          <w:tcPr>
            <w:tcW w:w="20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3"/>
              <w:spacing w:line="219" w:lineRule="atLeast"/>
              <w:rPr>
                <w:rFonts w:ascii="Arial" w:hAnsi="Arial" w:cs="Arial"/>
                <w:color w:val="111111"/>
              </w:rPr>
            </w:pPr>
            <w:r>
              <w:rPr>
                <w:rStyle w:val="s31"/>
                <w:rFonts w:ascii="Arial" w:hAnsi="Arial" w:cs="Arial"/>
              </w:rPr>
              <w:t>低密度级</w:t>
            </w:r>
          </w:p>
        </w:tc>
        <w:tc>
          <w:tcPr>
            <w:tcW w:w="5416"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6"/>
              <w:spacing w:line="219" w:lineRule="atLeast"/>
              <w:rPr>
                <w:rFonts w:ascii="Arial" w:hAnsi="Arial" w:cs="Arial"/>
                <w:color w:val="111111"/>
              </w:rPr>
            </w:pPr>
            <w:r>
              <w:rPr>
                <w:rStyle w:val="s31"/>
                <w:rFonts w:ascii="Arial" w:hAnsi="Arial" w:cs="Arial"/>
              </w:rPr>
              <w:t>密度五区</w:t>
            </w:r>
          </w:p>
        </w:tc>
      </w:tr>
    </w:tbl>
    <w:p w:rsidR="00D5746B" w:rsidRDefault="00D5746B" w:rsidP="00D5746B">
      <w:pPr>
        <w:pStyle w:val="p4"/>
        <w:rPr>
          <w:rFonts w:ascii="Arial" w:hAnsi="Arial" w:cs="Arial"/>
          <w:color w:val="111111"/>
          <w:lang/>
        </w:rPr>
      </w:pPr>
      <w:r>
        <w:rPr>
          <w:rStyle w:val="s31"/>
          <w:rFonts w:ascii="Arial" w:hAnsi="Arial" w:cs="Arial"/>
          <w:lang/>
        </w:rPr>
        <w:t>市自然资源局负责市域密度分级指引图的编制，指导园区、镇</w:t>
      </w:r>
      <w:r>
        <w:rPr>
          <w:rStyle w:val="s31"/>
          <w:rFonts w:ascii="Arial" w:hAnsi="Arial" w:cs="Arial"/>
          <w:lang/>
        </w:rPr>
        <w:t>(</w:t>
      </w:r>
      <w:r>
        <w:rPr>
          <w:rStyle w:val="s31"/>
          <w:rFonts w:ascii="Arial" w:hAnsi="Arial" w:cs="Arial"/>
          <w:lang/>
        </w:rPr>
        <w:t>街道</w:t>
      </w:r>
      <w:r>
        <w:rPr>
          <w:rStyle w:val="s31"/>
          <w:rFonts w:ascii="Arial" w:hAnsi="Arial" w:cs="Arial"/>
          <w:lang/>
        </w:rPr>
        <w:t>)</w:t>
      </w:r>
      <w:r>
        <w:rPr>
          <w:rStyle w:val="s31"/>
          <w:rFonts w:ascii="Arial" w:hAnsi="Arial" w:cs="Arial"/>
          <w:lang/>
        </w:rPr>
        <w:t>密度分区图的编制及备案管理等工作。园区管委会、镇人民政府</w:t>
      </w:r>
      <w:r>
        <w:rPr>
          <w:rStyle w:val="s31"/>
          <w:rFonts w:ascii="Arial" w:hAnsi="Arial" w:cs="Arial"/>
          <w:lang/>
        </w:rPr>
        <w:t>(</w:t>
      </w:r>
      <w:r>
        <w:rPr>
          <w:rStyle w:val="s31"/>
          <w:rFonts w:ascii="Arial" w:hAnsi="Arial" w:cs="Arial"/>
          <w:lang/>
        </w:rPr>
        <w:t>街道办事处</w:t>
      </w:r>
      <w:r>
        <w:rPr>
          <w:rStyle w:val="s31"/>
          <w:rFonts w:ascii="Arial" w:hAnsi="Arial" w:cs="Arial"/>
          <w:lang/>
        </w:rPr>
        <w:t>)</w:t>
      </w:r>
      <w:r>
        <w:rPr>
          <w:rStyle w:val="s31"/>
          <w:rFonts w:ascii="Arial" w:hAnsi="Arial" w:cs="Arial"/>
          <w:lang/>
        </w:rPr>
        <w:t>负责辖区内密度分区图的编制工作，并按程序报市自然资源局审批和备案。园区、镇</w:t>
      </w:r>
      <w:r>
        <w:rPr>
          <w:rStyle w:val="s31"/>
          <w:rFonts w:ascii="Arial" w:hAnsi="Arial" w:cs="Arial"/>
          <w:lang/>
        </w:rPr>
        <w:t>(</w:t>
      </w:r>
      <w:r>
        <w:rPr>
          <w:rStyle w:val="s31"/>
          <w:rFonts w:ascii="Arial" w:hAnsi="Arial" w:cs="Arial"/>
          <w:lang/>
        </w:rPr>
        <w:t>街道</w:t>
      </w:r>
      <w:r>
        <w:rPr>
          <w:rStyle w:val="s31"/>
          <w:rFonts w:ascii="Arial" w:hAnsi="Arial" w:cs="Arial"/>
          <w:lang/>
        </w:rPr>
        <w:t>)</w:t>
      </w:r>
      <w:r>
        <w:rPr>
          <w:rStyle w:val="s31"/>
          <w:rFonts w:ascii="Arial" w:hAnsi="Arial" w:cs="Arial"/>
          <w:lang/>
        </w:rPr>
        <w:t>密度分区图未完成备案前，采用市域密度分级指引图进行管控，其中高密度级采用密度二区管控，中密度级采用密度四区管控。</w:t>
      </w:r>
      <w:r>
        <w:rPr>
          <w:rStyle w:val="s21"/>
          <w:rFonts w:ascii="Arial" w:hAnsi="Arial" w:cs="Arial"/>
          <w:lang/>
        </w:rPr>
        <w:t>2018</w:t>
      </w:r>
      <w:r>
        <w:rPr>
          <w:rStyle w:val="s21"/>
          <w:rFonts w:ascii="Arial" w:hAnsi="Arial" w:cs="Arial"/>
          <w:lang/>
        </w:rPr>
        <w:t>年重点更新单元按照密度一区执行。</w:t>
      </w:r>
    </w:p>
    <w:p w:rsidR="00D5746B" w:rsidRDefault="00D5746B" w:rsidP="00D5746B">
      <w:pPr>
        <w:pStyle w:val="p4"/>
        <w:rPr>
          <w:rFonts w:ascii="Arial" w:hAnsi="Arial" w:cs="Arial"/>
          <w:color w:val="111111"/>
          <w:lang/>
        </w:rPr>
      </w:pPr>
      <w:r>
        <w:rPr>
          <w:rStyle w:val="s31"/>
          <w:rFonts w:ascii="Arial" w:hAnsi="Arial" w:cs="Arial"/>
          <w:lang/>
        </w:rPr>
        <w:t>(</w:t>
      </w:r>
      <w:proofErr w:type="gramStart"/>
      <w:r>
        <w:rPr>
          <w:rStyle w:val="s31"/>
          <w:rFonts w:ascii="Arial" w:hAnsi="Arial" w:cs="Arial"/>
          <w:lang/>
        </w:rPr>
        <w:t>一</w:t>
      </w:r>
      <w:proofErr w:type="gramEnd"/>
      <w:r>
        <w:rPr>
          <w:rStyle w:val="s31"/>
          <w:rFonts w:ascii="Arial" w:hAnsi="Arial" w:cs="Arial"/>
          <w:lang/>
        </w:rPr>
        <w:t>)</w:t>
      </w:r>
      <w:r>
        <w:rPr>
          <w:rStyle w:val="s31"/>
          <w:rFonts w:ascii="Arial" w:hAnsi="Arial" w:cs="Arial"/>
          <w:lang/>
        </w:rPr>
        <w:t>居住用地</w:t>
      </w:r>
    </w:p>
    <w:p w:rsidR="00D5746B" w:rsidRDefault="00D5746B" w:rsidP="00D5746B">
      <w:pPr>
        <w:pStyle w:val="p4"/>
        <w:rPr>
          <w:rFonts w:ascii="Arial" w:hAnsi="Arial" w:cs="Arial"/>
          <w:color w:val="111111"/>
          <w:lang/>
        </w:rPr>
      </w:pPr>
      <w:r>
        <w:rPr>
          <w:rStyle w:val="s31"/>
          <w:rFonts w:ascii="Arial" w:hAnsi="Arial" w:cs="Arial"/>
          <w:lang/>
        </w:rPr>
        <w:lastRenderedPageBreak/>
        <w:t>居住用地容积率分为</w:t>
      </w:r>
      <w:r>
        <w:rPr>
          <w:rStyle w:val="s31"/>
          <w:rFonts w:ascii="Arial" w:hAnsi="Arial" w:cs="Arial"/>
          <w:lang/>
        </w:rPr>
        <w:t>5</w:t>
      </w:r>
      <w:r>
        <w:rPr>
          <w:rStyle w:val="s31"/>
          <w:rFonts w:ascii="Arial" w:hAnsi="Arial" w:cs="Arial"/>
          <w:lang/>
        </w:rPr>
        <w:t>个等级区间，其中密度一区对应的基准容积率及地块容积率上限应符合表</w:t>
      </w:r>
      <w:r>
        <w:rPr>
          <w:rStyle w:val="s31"/>
          <w:rFonts w:ascii="Arial" w:hAnsi="Arial" w:cs="Arial"/>
          <w:lang/>
        </w:rPr>
        <w:t>2</w:t>
      </w:r>
      <w:r>
        <w:rPr>
          <w:rStyle w:val="s31"/>
          <w:rFonts w:ascii="Arial" w:hAnsi="Arial" w:cs="Arial"/>
          <w:lang/>
        </w:rPr>
        <w:t>规定，混合用地中</w:t>
      </w:r>
      <w:r>
        <w:rPr>
          <w:rStyle w:val="s31"/>
          <w:rFonts w:ascii="Arial" w:hAnsi="Arial" w:cs="Arial"/>
          <w:lang/>
        </w:rPr>
        <w:t>“</w:t>
      </w:r>
      <w:r>
        <w:rPr>
          <w:rStyle w:val="s31"/>
          <w:rFonts w:ascii="Arial" w:hAnsi="Arial" w:cs="Arial"/>
          <w:lang/>
        </w:rPr>
        <w:t>居住部分建筑面积</w:t>
      </w:r>
      <w:r>
        <w:rPr>
          <w:rStyle w:val="s31"/>
          <w:rFonts w:ascii="Arial" w:hAnsi="Arial" w:cs="Arial"/>
          <w:lang/>
        </w:rPr>
        <w:t>/</w:t>
      </w:r>
      <w:r>
        <w:rPr>
          <w:rStyle w:val="s31"/>
          <w:rFonts w:ascii="Arial" w:hAnsi="Arial" w:cs="Arial"/>
          <w:lang/>
        </w:rPr>
        <w:t>地块面积</w:t>
      </w:r>
      <w:r>
        <w:rPr>
          <w:rStyle w:val="s31"/>
          <w:rFonts w:ascii="Arial" w:hAnsi="Arial" w:cs="Arial"/>
          <w:lang/>
        </w:rPr>
        <w:t>”</w:t>
      </w:r>
      <w:r>
        <w:rPr>
          <w:rStyle w:val="s31"/>
          <w:rFonts w:ascii="Arial" w:hAnsi="Arial" w:cs="Arial"/>
          <w:lang/>
        </w:rPr>
        <w:t>的数值应符合下表关于地块容积率上限的规定。</w:t>
      </w:r>
    </w:p>
    <w:p w:rsidR="00D5746B" w:rsidRDefault="00D5746B" w:rsidP="00D5746B">
      <w:pPr>
        <w:pStyle w:val="p3"/>
        <w:rPr>
          <w:rFonts w:ascii="Arial" w:hAnsi="Arial" w:cs="Arial"/>
          <w:color w:val="111111"/>
          <w:lang/>
        </w:rPr>
      </w:pPr>
      <w:r>
        <w:rPr>
          <w:rStyle w:val="s21"/>
          <w:rFonts w:ascii="Arial" w:hAnsi="Arial" w:cs="Arial"/>
          <w:lang/>
        </w:rPr>
        <w:t>表</w:t>
      </w:r>
      <w:r>
        <w:rPr>
          <w:rStyle w:val="s21"/>
          <w:rFonts w:ascii="Arial" w:hAnsi="Arial" w:cs="Arial"/>
          <w:lang/>
        </w:rPr>
        <w:t>2</w:t>
      </w:r>
      <w:r>
        <w:rPr>
          <w:rStyle w:val="s21"/>
          <w:rFonts w:ascii="Arial" w:hAnsi="Arial" w:cs="Arial"/>
          <w:lang/>
        </w:rPr>
        <w:t>居住用地基准容积率指引</w:t>
      </w:r>
    </w:p>
    <w:tbl>
      <w:tblPr>
        <w:tblW w:w="0" w:type="auto"/>
        <w:jc w:val="center"/>
        <w:tblCellSpacing w:w="15" w:type="dxa"/>
        <w:tblCellMar>
          <w:top w:w="15" w:type="dxa"/>
          <w:left w:w="15" w:type="dxa"/>
          <w:bottom w:w="15" w:type="dxa"/>
          <w:right w:w="15" w:type="dxa"/>
        </w:tblCellMar>
        <w:tblLook w:val="04A0"/>
      </w:tblPr>
      <w:tblGrid>
        <w:gridCol w:w="2104"/>
        <w:gridCol w:w="2089"/>
        <w:gridCol w:w="2094"/>
        <w:gridCol w:w="2109"/>
      </w:tblGrid>
      <w:tr w:rsidR="00D5746B" w:rsidTr="00A1279F">
        <w:trPr>
          <w:tblCellSpacing w:w="15" w:type="dxa"/>
          <w:jc w:val="center"/>
        </w:trPr>
        <w:tc>
          <w:tcPr>
            <w:tcW w:w="213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3"/>
              <w:rPr>
                <w:rFonts w:ascii="Arial" w:hAnsi="Arial" w:cs="Arial"/>
                <w:color w:val="111111"/>
              </w:rPr>
            </w:pPr>
            <w:r>
              <w:rPr>
                <w:rStyle w:val="s31"/>
                <w:rFonts w:ascii="Arial" w:hAnsi="Arial" w:cs="Arial"/>
              </w:rPr>
              <w:t>分级</w:t>
            </w:r>
          </w:p>
        </w:tc>
        <w:tc>
          <w:tcPr>
            <w:tcW w:w="213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3"/>
              <w:rPr>
                <w:rFonts w:ascii="Arial" w:hAnsi="Arial" w:cs="Arial"/>
                <w:color w:val="111111"/>
              </w:rPr>
            </w:pPr>
            <w:r>
              <w:rPr>
                <w:rStyle w:val="s31"/>
                <w:rFonts w:ascii="Arial" w:hAnsi="Arial" w:cs="Arial"/>
              </w:rPr>
              <w:t>密度分区</w:t>
            </w:r>
          </w:p>
        </w:tc>
        <w:tc>
          <w:tcPr>
            <w:tcW w:w="213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3"/>
              <w:rPr>
                <w:rFonts w:ascii="Arial" w:hAnsi="Arial" w:cs="Arial"/>
                <w:color w:val="111111"/>
              </w:rPr>
            </w:pPr>
            <w:r>
              <w:rPr>
                <w:rStyle w:val="s31"/>
                <w:rFonts w:ascii="Arial" w:hAnsi="Arial" w:cs="Arial"/>
              </w:rPr>
              <w:t>基准容积率</w:t>
            </w:r>
          </w:p>
        </w:tc>
        <w:tc>
          <w:tcPr>
            <w:tcW w:w="213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3"/>
              <w:rPr>
                <w:rFonts w:ascii="Arial" w:hAnsi="Arial" w:cs="Arial"/>
                <w:color w:val="111111"/>
              </w:rPr>
            </w:pPr>
            <w:r>
              <w:rPr>
                <w:rStyle w:val="s31"/>
                <w:rFonts w:ascii="Arial" w:hAnsi="Arial" w:cs="Arial"/>
              </w:rPr>
              <w:t>地块容积率上限</w:t>
            </w:r>
          </w:p>
        </w:tc>
      </w:tr>
      <w:tr w:rsidR="00D5746B" w:rsidTr="00A1279F">
        <w:trPr>
          <w:tblCellSpacing w:w="15" w:type="dxa"/>
          <w:jc w:val="center"/>
        </w:trPr>
        <w:tc>
          <w:tcPr>
            <w:tcW w:w="213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3"/>
              <w:rPr>
                <w:rFonts w:ascii="Arial" w:hAnsi="Arial" w:cs="Arial"/>
                <w:color w:val="111111"/>
              </w:rPr>
            </w:pPr>
            <w:r>
              <w:rPr>
                <w:rStyle w:val="s31"/>
                <w:rFonts w:ascii="Arial" w:hAnsi="Arial" w:cs="Arial"/>
              </w:rPr>
              <w:t>1</w:t>
            </w:r>
          </w:p>
        </w:tc>
        <w:tc>
          <w:tcPr>
            <w:tcW w:w="213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3"/>
              <w:rPr>
                <w:rFonts w:ascii="Arial" w:hAnsi="Arial" w:cs="Arial"/>
                <w:color w:val="111111"/>
              </w:rPr>
            </w:pPr>
            <w:r>
              <w:rPr>
                <w:rStyle w:val="s31"/>
                <w:rFonts w:ascii="Arial" w:hAnsi="Arial" w:cs="Arial"/>
              </w:rPr>
              <w:t>密度一区</w:t>
            </w:r>
          </w:p>
        </w:tc>
        <w:tc>
          <w:tcPr>
            <w:tcW w:w="213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3"/>
              <w:rPr>
                <w:rFonts w:ascii="Arial" w:hAnsi="Arial" w:cs="Arial"/>
                <w:color w:val="111111"/>
              </w:rPr>
            </w:pPr>
            <w:r>
              <w:rPr>
                <w:rStyle w:val="s31"/>
                <w:rFonts w:ascii="Arial" w:hAnsi="Arial" w:cs="Arial"/>
              </w:rPr>
              <w:t>2.2</w:t>
            </w:r>
          </w:p>
        </w:tc>
        <w:tc>
          <w:tcPr>
            <w:tcW w:w="213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3"/>
              <w:rPr>
                <w:rFonts w:ascii="Arial" w:hAnsi="Arial" w:cs="Arial"/>
                <w:color w:val="111111"/>
              </w:rPr>
            </w:pPr>
            <w:r>
              <w:rPr>
                <w:rStyle w:val="s31"/>
                <w:rFonts w:ascii="Arial" w:hAnsi="Arial" w:cs="Arial"/>
              </w:rPr>
              <w:t>5.0</w:t>
            </w:r>
          </w:p>
        </w:tc>
      </w:tr>
      <w:tr w:rsidR="00D5746B" w:rsidTr="00A1279F">
        <w:trPr>
          <w:tblCellSpacing w:w="15" w:type="dxa"/>
          <w:jc w:val="center"/>
        </w:trPr>
        <w:tc>
          <w:tcPr>
            <w:tcW w:w="213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3"/>
              <w:rPr>
                <w:rFonts w:ascii="Arial" w:hAnsi="Arial" w:cs="Arial"/>
                <w:color w:val="111111"/>
              </w:rPr>
            </w:pPr>
            <w:r>
              <w:rPr>
                <w:rStyle w:val="s31"/>
                <w:rFonts w:ascii="Arial" w:hAnsi="Arial" w:cs="Arial"/>
              </w:rPr>
              <w:t>2</w:t>
            </w:r>
          </w:p>
        </w:tc>
        <w:tc>
          <w:tcPr>
            <w:tcW w:w="213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3"/>
              <w:rPr>
                <w:rFonts w:ascii="Arial" w:hAnsi="Arial" w:cs="Arial"/>
                <w:color w:val="111111"/>
              </w:rPr>
            </w:pPr>
            <w:r>
              <w:rPr>
                <w:rStyle w:val="s31"/>
                <w:rFonts w:ascii="Arial" w:hAnsi="Arial" w:cs="Arial"/>
              </w:rPr>
              <w:t>密度二区</w:t>
            </w:r>
          </w:p>
        </w:tc>
        <w:tc>
          <w:tcPr>
            <w:tcW w:w="213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3"/>
              <w:rPr>
                <w:rFonts w:ascii="Arial" w:hAnsi="Arial" w:cs="Arial"/>
                <w:color w:val="111111"/>
              </w:rPr>
            </w:pPr>
            <w:r>
              <w:rPr>
                <w:rStyle w:val="s31"/>
                <w:rFonts w:ascii="Arial" w:hAnsi="Arial" w:cs="Arial"/>
              </w:rPr>
              <w:t>2.0</w:t>
            </w:r>
          </w:p>
        </w:tc>
        <w:tc>
          <w:tcPr>
            <w:tcW w:w="213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3"/>
              <w:rPr>
                <w:rFonts w:ascii="Arial" w:hAnsi="Arial" w:cs="Arial"/>
                <w:color w:val="111111"/>
              </w:rPr>
            </w:pPr>
            <w:r>
              <w:rPr>
                <w:rStyle w:val="s31"/>
                <w:rFonts w:ascii="Arial" w:hAnsi="Arial" w:cs="Arial"/>
              </w:rPr>
              <w:t>4.5</w:t>
            </w:r>
          </w:p>
        </w:tc>
      </w:tr>
      <w:tr w:rsidR="00D5746B" w:rsidTr="00A1279F">
        <w:trPr>
          <w:tblCellSpacing w:w="15" w:type="dxa"/>
          <w:jc w:val="center"/>
        </w:trPr>
        <w:tc>
          <w:tcPr>
            <w:tcW w:w="213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3"/>
              <w:rPr>
                <w:rFonts w:ascii="Arial" w:hAnsi="Arial" w:cs="Arial"/>
                <w:color w:val="111111"/>
              </w:rPr>
            </w:pPr>
            <w:r>
              <w:rPr>
                <w:rStyle w:val="s31"/>
                <w:rFonts w:ascii="Arial" w:hAnsi="Arial" w:cs="Arial"/>
              </w:rPr>
              <w:t>3</w:t>
            </w:r>
          </w:p>
        </w:tc>
        <w:tc>
          <w:tcPr>
            <w:tcW w:w="213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3"/>
              <w:rPr>
                <w:rFonts w:ascii="Arial" w:hAnsi="Arial" w:cs="Arial"/>
                <w:color w:val="111111"/>
              </w:rPr>
            </w:pPr>
            <w:r>
              <w:rPr>
                <w:rStyle w:val="s31"/>
                <w:rFonts w:ascii="Arial" w:hAnsi="Arial" w:cs="Arial"/>
              </w:rPr>
              <w:t>密度三区</w:t>
            </w:r>
          </w:p>
        </w:tc>
        <w:tc>
          <w:tcPr>
            <w:tcW w:w="213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3"/>
              <w:rPr>
                <w:rFonts w:ascii="Arial" w:hAnsi="Arial" w:cs="Arial"/>
                <w:color w:val="111111"/>
              </w:rPr>
            </w:pPr>
            <w:r>
              <w:rPr>
                <w:rStyle w:val="s31"/>
                <w:rFonts w:ascii="Arial" w:hAnsi="Arial" w:cs="Arial"/>
              </w:rPr>
              <w:t>1.8</w:t>
            </w:r>
          </w:p>
        </w:tc>
        <w:tc>
          <w:tcPr>
            <w:tcW w:w="213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3"/>
              <w:rPr>
                <w:rFonts w:ascii="Arial" w:hAnsi="Arial" w:cs="Arial"/>
                <w:color w:val="111111"/>
              </w:rPr>
            </w:pPr>
            <w:r>
              <w:rPr>
                <w:rFonts w:ascii="Arial" w:hAnsi="Arial" w:cs="Arial"/>
                <w:color w:val="111111"/>
              </w:rPr>
              <w:t>4.0</w:t>
            </w:r>
          </w:p>
        </w:tc>
      </w:tr>
      <w:tr w:rsidR="00D5746B" w:rsidTr="00A1279F">
        <w:trPr>
          <w:tblCellSpacing w:w="15" w:type="dxa"/>
          <w:jc w:val="center"/>
        </w:trPr>
        <w:tc>
          <w:tcPr>
            <w:tcW w:w="213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3"/>
              <w:rPr>
                <w:rFonts w:ascii="Arial" w:hAnsi="Arial" w:cs="Arial"/>
                <w:color w:val="111111"/>
              </w:rPr>
            </w:pPr>
            <w:r>
              <w:rPr>
                <w:rStyle w:val="s31"/>
                <w:rFonts w:ascii="Arial" w:hAnsi="Arial" w:cs="Arial"/>
              </w:rPr>
              <w:t>4</w:t>
            </w:r>
          </w:p>
        </w:tc>
        <w:tc>
          <w:tcPr>
            <w:tcW w:w="213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3"/>
              <w:rPr>
                <w:rFonts w:ascii="Arial" w:hAnsi="Arial" w:cs="Arial"/>
                <w:color w:val="111111"/>
              </w:rPr>
            </w:pPr>
            <w:r>
              <w:rPr>
                <w:rStyle w:val="s31"/>
                <w:rFonts w:ascii="Arial" w:hAnsi="Arial" w:cs="Arial"/>
              </w:rPr>
              <w:t>密度四区</w:t>
            </w:r>
          </w:p>
        </w:tc>
        <w:tc>
          <w:tcPr>
            <w:tcW w:w="213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3"/>
              <w:rPr>
                <w:rFonts w:ascii="Arial" w:hAnsi="Arial" w:cs="Arial"/>
                <w:color w:val="111111"/>
              </w:rPr>
            </w:pPr>
            <w:r>
              <w:rPr>
                <w:rStyle w:val="s31"/>
                <w:rFonts w:ascii="Arial" w:hAnsi="Arial" w:cs="Arial"/>
              </w:rPr>
              <w:t>1.6</w:t>
            </w:r>
          </w:p>
        </w:tc>
        <w:tc>
          <w:tcPr>
            <w:tcW w:w="213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3"/>
              <w:rPr>
                <w:rFonts w:ascii="Arial" w:hAnsi="Arial" w:cs="Arial"/>
                <w:color w:val="111111"/>
              </w:rPr>
            </w:pPr>
            <w:r>
              <w:rPr>
                <w:rStyle w:val="s31"/>
                <w:rFonts w:ascii="Arial" w:hAnsi="Arial" w:cs="Arial"/>
              </w:rPr>
              <w:t>3.5</w:t>
            </w:r>
          </w:p>
        </w:tc>
      </w:tr>
      <w:tr w:rsidR="00D5746B" w:rsidTr="00A1279F">
        <w:trPr>
          <w:tblCellSpacing w:w="15" w:type="dxa"/>
          <w:jc w:val="center"/>
        </w:trPr>
        <w:tc>
          <w:tcPr>
            <w:tcW w:w="213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3"/>
              <w:rPr>
                <w:rFonts w:ascii="Arial" w:hAnsi="Arial" w:cs="Arial"/>
                <w:color w:val="111111"/>
              </w:rPr>
            </w:pPr>
            <w:r>
              <w:rPr>
                <w:rStyle w:val="s31"/>
                <w:rFonts w:ascii="Arial" w:hAnsi="Arial" w:cs="Arial"/>
              </w:rPr>
              <w:t>5</w:t>
            </w:r>
          </w:p>
        </w:tc>
        <w:tc>
          <w:tcPr>
            <w:tcW w:w="213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3"/>
              <w:rPr>
                <w:rFonts w:ascii="Arial" w:hAnsi="Arial" w:cs="Arial"/>
                <w:color w:val="111111"/>
              </w:rPr>
            </w:pPr>
            <w:r>
              <w:rPr>
                <w:rStyle w:val="s31"/>
                <w:rFonts w:ascii="Arial" w:hAnsi="Arial" w:cs="Arial"/>
              </w:rPr>
              <w:t>密度五区</w:t>
            </w:r>
          </w:p>
        </w:tc>
        <w:tc>
          <w:tcPr>
            <w:tcW w:w="213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3"/>
              <w:rPr>
                <w:rFonts w:ascii="Arial" w:hAnsi="Arial" w:cs="Arial"/>
                <w:color w:val="111111"/>
              </w:rPr>
            </w:pPr>
            <w:r>
              <w:rPr>
                <w:rStyle w:val="s31"/>
                <w:rFonts w:ascii="Arial" w:hAnsi="Arial" w:cs="Arial"/>
              </w:rPr>
              <w:t>1.5</w:t>
            </w:r>
          </w:p>
        </w:tc>
        <w:tc>
          <w:tcPr>
            <w:tcW w:w="213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3"/>
              <w:rPr>
                <w:rFonts w:ascii="Arial" w:hAnsi="Arial" w:cs="Arial"/>
                <w:color w:val="111111"/>
              </w:rPr>
            </w:pPr>
            <w:r>
              <w:rPr>
                <w:rStyle w:val="s31"/>
                <w:rFonts w:ascii="Arial" w:hAnsi="Arial" w:cs="Arial"/>
              </w:rPr>
              <w:t>2.5</w:t>
            </w:r>
          </w:p>
        </w:tc>
      </w:tr>
    </w:tbl>
    <w:p w:rsidR="00D5746B" w:rsidRDefault="00D5746B" w:rsidP="00D5746B">
      <w:pPr>
        <w:pStyle w:val="p4"/>
        <w:rPr>
          <w:rFonts w:ascii="Arial" w:hAnsi="Arial" w:cs="Arial"/>
          <w:color w:val="111111"/>
          <w:lang/>
        </w:rPr>
      </w:pPr>
      <w:r>
        <w:rPr>
          <w:rStyle w:val="s31"/>
          <w:rFonts w:ascii="Arial" w:hAnsi="Arial" w:cs="Arial"/>
          <w:lang/>
        </w:rPr>
        <w:t>(</w:t>
      </w:r>
      <w:r>
        <w:rPr>
          <w:rStyle w:val="s31"/>
          <w:rFonts w:ascii="Arial" w:hAnsi="Arial" w:cs="Arial"/>
          <w:lang/>
        </w:rPr>
        <w:t>二</w:t>
      </w:r>
      <w:r>
        <w:rPr>
          <w:rStyle w:val="s31"/>
          <w:rFonts w:ascii="Arial" w:hAnsi="Arial" w:cs="Arial"/>
          <w:lang/>
        </w:rPr>
        <w:t>)</w:t>
      </w:r>
      <w:r>
        <w:rPr>
          <w:rStyle w:val="s31"/>
          <w:rFonts w:ascii="Arial" w:hAnsi="Arial" w:cs="Arial"/>
          <w:lang/>
        </w:rPr>
        <w:t>商业服务业用地</w:t>
      </w:r>
    </w:p>
    <w:p w:rsidR="00D5746B" w:rsidRDefault="00D5746B" w:rsidP="00D5746B">
      <w:pPr>
        <w:pStyle w:val="p5"/>
        <w:rPr>
          <w:rFonts w:ascii="Arial" w:hAnsi="Arial" w:cs="Arial"/>
          <w:color w:val="111111"/>
          <w:lang/>
        </w:rPr>
      </w:pPr>
      <w:r>
        <w:rPr>
          <w:rStyle w:val="s31"/>
          <w:rFonts w:ascii="Arial" w:hAnsi="Arial" w:cs="Arial"/>
          <w:lang/>
        </w:rPr>
        <w:t>商业服务业用地容积率分为</w:t>
      </w:r>
      <w:r>
        <w:rPr>
          <w:rStyle w:val="s31"/>
          <w:rFonts w:ascii="Arial" w:hAnsi="Arial" w:cs="Arial"/>
          <w:lang/>
        </w:rPr>
        <w:t>5</w:t>
      </w:r>
      <w:r>
        <w:rPr>
          <w:rStyle w:val="s31"/>
          <w:rFonts w:ascii="Arial" w:hAnsi="Arial" w:cs="Arial"/>
          <w:lang/>
        </w:rPr>
        <w:t>个等级区间，其中密度一区对应的基准容积率应符合表</w:t>
      </w:r>
      <w:r>
        <w:rPr>
          <w:rStyle w:val="s31"/>
          <w:rFonts w:ascii="Arial" w:hAnsi="Arial" w:cs="Arial"/>
          <w:lang/>
        </w:rPr>
        <w:t>3</w:t>
      </w:r>
      <w:r>
        <w:rPr>
          <w:rStyle w:val="s31"/>
          <w:rFonts w:ascii="Arial" w:hAnsi="Arial" w:cs="Arial"/>
          <w:lang/>
        </w:rPr>
        <w:t>规定。</w:t>
      </w:r>
    </w:p>
    <w:p w:rsidR="00D5746B" w:rsidRDefault="00D5746B" w:rsidP="00D5746B">
      <w:pPr>
        <w:pStyle w:val="p3"/>
        <w:rPr>
          <w:rFonts w:ascii="Arial" w:hAnsi="Arial" w:cs="Arial"/>
          <w:color w:val="111111"/>
          <w:lang/>
        </w:rPr>
      </w:pPr>
      <w:r>
        <w:rPr>
          <w:rStyle w:val="s21"/>
          <w:rFonts w:ascii="Arial" w:hAnsi="Arial" w:cs="Arial"/>
          <w:lang/>
        </w:rPr>
        <w:t>表</w:t>
      </w:r>
      <w:r>
        <w:rPr>
          <w:rStyle w:val="s21"/>
          <w:rFonts w:ascii="Arial" w:hAnsi="Arial" w:cs="Arial"/>
          <w:lang/>
        </w:rPr>
        <w:t>3</w:t>
      </w:r>
      <w:r>
        <w:rPr>
          <w:rStyle w:val="s21"/>
          <w:rFonts w:ascii="Arial" w:hAnsi="Arial" w:cs="Arial"/>
          <w:lang/>
        </w:rPr>
        <w:t>商业服务业用地基准容积率指引</w:t>
      </w:r>
    </w:p>
    <w:tbl>
      <w:tblPr>
        <w:tblW w:w="0" w:type="auto"/>
        <w:jc w:val="center"/>
        <w:tblCellSpacing w:w="15" w:type="dxa"/>
        <w:tblCellMar>
          <w:top w:w="15" w:type="dxa"/>
          <w:left w:w="15" w:type="dxa"/>
          <w:bottom w:w="15" w:type="dxa"/>
          <w:right w:w="15" w:type="dxa"/>
        </w:tblCellMar>
        <w:tblLook w:val="04A0"/>
      </w:tblPr>
      <w:tblGrid>
        <w:gridCol w:w="2803"/>
        <w:gridCol w:w="2787"/>
        <w:gridCol w:w="2806"/>
      </w:tblGrid>
      <w:tr w:rsidR="00D5746B" w:rsidTr="00A1279F">
        <w:trPr>
          <w:tblCellSpacing w:w="15" w:type="dxa"/>
          <w:jc w:val="center"/>
        </w:trPr>
        <w:tc>
          <w:tcPr>
            <w:tcW w:w="284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7"/>
              <w:rPr>
                <w:rFonts w:ascii="Arial" w:hAnsi="Arial" w:cs="Arial"/>
                <w:color w:val="111111"/>
              </w:rPr>
            </w:pPr>
            <w:r>
              <w:rPr>
                <w:rStyle w:val="s31"/>
                <w:rFonts w:ascii="Arial" w:hAnsi="Arial" w:cs="Arial"/>
              </w:rPr>
              <w:t>分级</w:t>
            </w:r>
          </w:p>
        </w:tc>
        <w:tc>
          <w:tcPr>
            <w:tcW w:w="284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7"/>
              <w:rPr>
                <w:rFonts w:ascii="Arial" w:hAnsi="Arial" w:cs="Arial"/>
                <w:color w:val="111111"/>
              </w:rPr>
            </w:pPr>
            <w:r>
              <w:rPr>
                <w:rStyle w:val="s31"/>
                <w:rFonts w:ascii="Arial" w:hAnsi="Arial" w:cs="Arial"/>
              </w:rPr>
              <w:t>密度分区</w:t>
            </w:r>
          </w:p>
        </w:tc>
        <w:tc>
          <w:tcPr>
            <w:tcW w:w="284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7"/>
              <w:rPr>
                <w:rFonts w:ascii="Arial" w:hAnsi="Arial" w:cs="Arial"/>
                <w:color w:val="111111"/>
              </w:rPr>
            </w:pPr>
            <w:r>
              <w:rPr>
                <w:rStyle w:val="s31"/>
                <w:rFonts w:ascii="Arial" w:hAnsi="Arial" w:cs="Arial"/>
              </w:rPr>
              <w:t>基准容积率</w:t>
            </w:r>
          </w:p>
        </w:tc>
      </w:tr>
      <w:tr w:rsidR="00D5746B" w:rsidTr="00A1279F">
        <w:trPr>
          <w:tblCellSpacing w:w="15" w:type="dxa"/>
          <w:jc w:val="center"/>
        </w:trPr>
        <w:tc>
          <w:tcPr>
            <w:tcW w:w="284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7"/>
              <w:rPr>
                <w:rFonts w:ascii="Arial" w:hAnsi="Arial" w:cs="Arial"/>
                <w:color w:val="111111"/>
              </w:rPr>
            </w:pPr>
            <w:r>
              <w:rPr>
                <w:rStyle w:val="s31"/>
                <w:rFonts w:ascii="Arial" w:hAnsi="Arial" w:cs="Arial"/>
              </w:rPr>
              <w:t>1</w:t>
            </w:r>
          </w:p>
        </w:tc>
        <w:tc>
          <w:tcPr>
            <w:tcW w:w="284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7"/>
              <w:rPr>
                <w:rFonts w:ascii="Arial" w:hAnsi="Arial" w:cs="Arial"/>
                <w:color w:val="111111"/>
              </w:rPr>
            </w:pPr>
            <w:r>
              <w:rPr>
                <w:rStyle w:val="s31"/>
                <w:rFonts w:ascii="Arial" w:hAnsi="Arial" w:cs="Arial"/>
              </w:rPr>
              <w:t>密度一区</w:t>
            </w:r>
          </w:p>
        </w:tc>
        <w:tc>
          <w:tcPr>
            <w:tcW w:w="284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7"/>
              <w:rPr>
                <w:rFonts w:ascii="Arial" w:hAnsi="Arial" w:cs="Arial"/>
                <w:color w:val="111111"/>
              </w:rPr>
            </w:pPr>
            <w:r>
              <w:rPr>
                <w:rStyle w:val="s31"/>
                <w:rFonts w:ascii="Arial" w:hAnsi="Arial" w:cs="Arial"/>
              </w:rPr>
              <w:t>4.0</w:t>
            </w:r>
          </w:p>
        </w:tc>
      </w:tr>
      <w:tr w:rsidR="00D5746B" w:rsidTr="00A1279F">
        <w:trPr>
          <w:tblCellSpacing w:w="15" w:type="dxa"/>
          <w:jc w:val="center"/>
        </w:trPr>
        <w:tc>
          <w:tcPr>
            <w:tcW w:w="284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7"/>
              <w:rPr>
                <w:rFonts w:ascii="Arial" w:hAnsi="Arial" w:cs="Arial"/>
                <w:color w:val="111111"/>
              </w:rPr>
            </w:pPr>
            <w:r>
              <w:rPr>
                <w:rStyle w:val="s31"/>
                <w:rFonts w:ascii="Arial" w:hAnsi="Arial" w:cs="Arial"/>
              </w:rPr>
              <w:lastRenderedPageBreak/>
              <w:t>2</w:t>
            </w:r>
          </w:p>
        </w:tc>
        <w:tc>
          <w:tcPr>
            <w:tcW w:w="284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7"/>
              <w:rPr>
                <w:rFonts w:ascii="Arial" w:hAnsi="Arial" w:cs="Arial"/>
                <w:color w:val="111111"/>
              </w:rPr>
            </w:pPr>
            <w:r>
              <w:rPr>
                <w:rStyle w:val="s31"/>
                <w:rFonts w:ascii="Arial" w:hAnsi="Arial" w:cs="Arial"/>
              </w:rPr>
              <w:t>密度二区</w:t>
            </w:r>
          </w:p>
        </w:tc>
        <w:tc>
          <w:tcPr>
            <w:tcW w:w="284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7"/>
              <w:rPr>
                <w:rFonts w:ascii="Arial" w:hAnsi="Arial" w:cs="Arial"/>
                <w:color w:val="111111"/>
              </w:rPr>
            </w:pPr>
            <w:r>
              <w:rPr>
                <w:rStyle w:val="s31"/>
                <w:rFonts w:ascii="Arial" w:hAnsi="Arial" w:cs="Arial"/>
              </w:rPr>
              <w:t>3.5</w:t>
            </w:r>
          </w:p>
        </w:tc>
      </w:tr>
      <w:tr w:rsidR="00D5746B" w:rsidTr="00A1279F">
        <w:trPr>
          <w:tblCellSpacing w:w="15" w:type="dxa"/>
          <w:jc w:val="center"/>
        </w:trPr>
        <w:tc>
          <w:tcPr>
            <w:tcW w:w="284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7"/>
              <w:rPr>
                <w:rFonts w:ascii="Arial" w:hAnsi="Arial" w:cs="Arial"/>
                <w:color w:val="111111"/>
              </w:rPr>
            </w:pPr>
            <w:r>
              <w:rPr>
                <w:rStyle w:val="s31"/>
                <w:rFonts w:ascii="Arial" w:hAnsi="Arial" w:cs="Arial"/>
              </w:rPr>
              <w:t>3</w:t>
            </w:r>
          </w:p>
        </w:tc>
        <w:tc>
          <w:tcPr>
            <w:tcW w:w="284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7"/>
              <w:rPr>
                <w:rFonts w:ascii="Arial" w:hAnsi="Arial" w:cs="Arial"/>
                <w:color w:val="111111"/>
              </w:rPr>
            </w:pPr>
            <w:r>
              <w:rPr>
                <w:rStyle w:val="s31"/>
                <w:rFonts w:ascii="Arial" w:hAnsi="Arial" w:cs="Arial"/>
              </w:rPr>
              <w:t>密度三区</w:t>
            </w:r>
          </w:p>
        </w:tc>
        <w:tc>
          <w:tcPr>
            <w:tcW w:w="284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7"/>
              <w:rPr>
                <w:rFonts w:ascii="Arial" w:hAnsi="Arial" w:cs="Arial"/>
                <w:color w:val="111111"/>
              </w:rPr>
            </w:pPr>
            <w:r>
              <w:rPr>
                <w:rStyle w:val="s31"/>
                <w:rFonts w:ascii="Arial" w:hAnsi="Arial" w:cs="Arial"/>
              </w:rPr>
              <w:t>3.0</w:t>
            </w:r>
          </w:p>
        </w:tc>
      </w:tr>
      <w:tr w:rsidR="00D5746B" w:rsidTr="00A1279F">
        <w:trPr>
          <w:tblCellSpacing w:w="15" w:type="dxa"/>
          <w:jc w:val="center"/>
        </w:trPr>
        <w:tc>
          <w:tcPr>
            <w:tcW w:w="284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7"/>
              <w:rPr>
                <w:rFonts w:ascii="Arial" w:hAnsi="Arial" w:cs="Arial"/>
                <w:color w:val="111111"/>
              </w:rPr>
            </w:pPr>
            <w:r>
              <w:rPr>
                <w:rStyle w:val="s31"/>
                <w:rFonts w:ascii="Arial" w:hAnsi="Arial" w:cs="Arial"/>
              </w:rPr>
              <w:t>4</w:t>
            </w:r>
          </w:p>
        </w:tc>
        <w:tc>
          <w:tcPr>
            <w:tcW w:w="284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7"/>
              <w:rPr>
                <w:rFonts w:ascii="Arial" w:hAnsi="Arial" w:cs="Arial"/>
                <w:color w:val="111111"/>
              </w:rPr>
            </w:pPr>
            <w:r>
              <w:rPr>
                <w:rStyle w:val="s31"/>
                <w:rFonts w:ascii="Arial" w:hAnsi="Arial" w:cs="Arial"/>
              </w:rPr>
              <w:t>密度四区</w:t>
            </w:r>
          </w:p>
        </w:tc>
        <w:tc>
          <w:tcPr>
            <w:tcW w:w="284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7"/>
              <w:rPr>
                <w:rFonts w:ascii="Arial" w:hAnsi="Arial" w:cs="Arial"/>
                <w:color w:val="111111"/>
              </w:rPr>
            </w:pPr>
            <w:r>
              <w:rPr>
                <w:rStyle w:val="s31"/>
                <w:rFonts w:ascii="Arial" w:hAnsi="Arial" w:cs="Arial"/>
              </w:rPr>
              <w:t>2.5</w:t>
            </w:r>
          </w:p>
        </w:tc>
      </w:tr>
      <w:tr w:rsidR="00D5746B" w:rsidTr="00A1279F">
        <w:trPr>
          <w:tblCellSpacing w:w="15" w:type="dxa"/>
          <w:jc w:val="center"/>
        </w:trPr>
        <w:tc>
          <w:tcPr>
            <w:tcW w:w="284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7"/>
              <w:rPr>
                <w:rFonts w:ascii="Arial" w:hAnsi="Arial" w:cs="Arial"/>
                <w:color w:val="111111"/>
              </w:rPr>
            </w:pPr>
            <w:r>
              <w:rPr>
                <w:rStyle w:val="s31"/>
                <w:rFonts w:ascii="Arial" w:hAnsi="Arial" w:cs="Arial"/>
              </w:rPr>
              <w:t>5</w:t>
            </w:r>
          </w:p>
        </w:tc>
        <w:tc>
          <w:tcPr>
            <w:tcW w:w="284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7"/>
              <w:rPr>
                <w:rFonts w:ascii="Arial" w:hAnsi="Arial" w:cs="Arial"/>
                <w:color w:val="111111"/>
              </w:rPr>
            </w:pPr>
            <w:r>
              <w:rPr>
                <w:rStyle w:val="s31"/>
                <w:rFonts w:ascii="Arial" w:hAnsi="Arial" w:cs="Arial"/>
              </w:rPr>
              <w:t>密度五区</w:t>
            </w:r>
          </w:p>
        </w:tc>
        <w:tc>
          <w:tcPr>
            <w:tcW w:w="284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7"/>
              <w:rPr>
                <w:rFonts w:ascii="Arial" w:hAnsi="Arial" w:cs="Arial"/>
                <w:color w:val="111111"/>
              </w:rPr>
            </w:pPr>
            <w:r>
              <w:rPr>
                <w:rStyle w:val="s31"/>
                <w:rFonts w:ascii="Arial" w:hAnsi="Arial" w:cs="Arial"/>
              </w:rPr>
              <w:t>2.0</w:t>
            </w:r>
          </w:p>
        </w:tc>
      </w:tr>
    </w:tbl>
    <w:p w:rsidR="00D5746B" w:rsidRDefault="00D5746B" w:rsidP="00D5746B">
      <w:pPr>
        <w:pStyle w:val="p4"/>
        <w:rPr>
          <w:rFonts w:ascii="Arial" w:hAnsi="Arial" w:cs="Arial"/>
          <w:color w:val="111111"/>
          <w:lang/>
        </w:rPr>
      </w:pPr>
      <w:r>
        <w:rPr>
          <w:rStyle w:val="s31"/>
          <w:rFonts w:ascii="Arial" w:hAnsi="Arial" w:cs="Arial"/>
          <w:lang/>
        </w:rPr>
        <w:t>(</w:t>
      </w:r>
      <w:r>
        <w:rPr>
          <w:rStyle w:val="s31"/>
          <w:rFonts w:ascii="Arial" w:hAnsi="Arial" w:cs="Arial"/>
          <w:lang/>
        </w:rPr>
        <w:t>三</w:t>
      </w:r>
      <w:r>
        <w:rPr>
          <w:rStyle w:val="s31"/>
          <w:rFonts w:ascii="Arial" w:hAnsi="Arial" w:cs="Arial"/>
          <w:lang/>
        </w:rPr>
        <w:t>)</w:t>
      </w:r>
      <w:r>
        <w:rPr>
          <w:rStyle w:val="s31"/>
          <w:rFonts w:ascii="Arial" w:hAnsi="Arial" w:cs="Arial"/>
          <w:lang/>
        </w:rPr>
        <w:t>新型产业用地</w:t>
      </w:r>
      <w:r>
        <w:rPr>
          <w:rStyle w:val="s31"/>
          <w:rFonts w:ascii="Arial" w:hAnsi="Arial" w:cs="Arial"/>
          <w:lang/>
        </w:rPr>
        <w:t>(M0)</w:t>
      </w:r>
    </w:p>
    <w:p w:rsidR="00D5746B" w:rsidRDefault="00D5746B" w:rsidP="00D5746B">
      <w:pPr>
        <w:pStyle w:val="p4"/>
        <w:rPr>
          <w:rFonts w:ascii="Arial" w:hAnsi="Arial" w:cs="Arial"/>
          <w:color w:val="111111"/>
          <w:lang/>
        </w:rPr>
      </w:pPr>
      <w:r>
        <w:rPr>
          <w:rStyle w:val="s31"/>
          <w:rFonts w:ascii="Arial" w:hAnsi="Arial" w:cs="Arial"/>
          <w:lang/>
        </w:rPr>
        <w:t>新型产业用地容积率分为</w:t>
      </w:r>
      <w:r>
        <w:rPr>
          <w:rStyle w:val="s31"/>
          <w:rFonts w:ascii="Arial" w:hAnsi="Arial" w:cs="Arial"/>
          <w:lang/>
        </w:rPr>
        <w:t>5</w:t>
      </w:r>
      <w:r>
        <w:rPr>
          <w:rStyle w:val="s31"/>
          <w:rFonts w:ascii="Arial" w:hAnsi="Arial" w:cs="Arial"/>
          <w:lang/>
        </w:rPr>
        <w:t>个等级区间，其中密度一区对应的基准容积率应符合表</w:t>
      </w:r>
      <w:r>
        <w:rPr>
          <w:rStyle w:val="s31"/>
          <w:rFonts w:ascii="Arial" w:hAnsi="Arial" w:cs="Arial"/>
          <w:lang/>
        </w:rPr>
        <w:t>4</w:t>
      </w:r>
      <w:r>
        <w:rPr>
          <w:rStyle w:val="s31"/>
          <w:rFonts w:ascii="Arial" w:hAnsi="Arial" w:cs="Arial"/>
          <w:lang/>
        </w:rPr>
        <w:t>规定，地块容积率原则上不应超过</w:t>
      </w:r>
      <w:r>
        <w:rPr>
          <w:rStyle w:val="s31"/>
          <w:rFonts w:ascii="Arial" w:hAnsi="Arial" w:cs="Arial"/>
          <w:lang/>
        </w:rPr>
        <w:t>60</w:t>
      </w:r>
      <w:r>
        <w:rPr>
          <w:rStyle w:val="s31"/>
          <w:rFonts w:ascii="Arial" w:hAnsi="Arial" w:cs="Arial"/>
          <w:lang/>
        </w:rPr>
        <w:t>。</w:t>
      </w:r>
    </w:p>
    <w:p w:rsidR="00D5746B" w:rsidRDefault="00D5746B" w:rsidP="00D5746B">
      <w:pPr>
        <w:pStyle w:val="p3"/>
        <w:rPr>
          <w:rFonts w:ascii="Arial" w:hAnsi="Arial" w:cs="Arial"/>
          <w:color w:val="111111"/>
          <w:lang/>
        </w:rPr>
      </w:pPr>
      <w:r>
        <w:rPr>
          <w:rStyle w:val="s21"/>
          <w:rFonts w:ascii="Arial" w:hAnsi="Arial" w:cs="Arial"/>
          <w:lang/>
        </w:rPr>
        <w:t>表</w:t>
      </w:r>
      <w:r>
        <w:rPr>
          <w:rStyle w:val="s21"/>
          <w:rFonts w:ascii="Arial" w:hAnsi="Arial" w:cs="Arial"/>
          <w:lang/>
        </w:rPr>
        <w:t>4</w:t>
      </w:r>
      <w:r>
        <w:rPr>
          <w:rStyle w:val="s21"/>
          <w:rFonts w:ascii="Arial" w:hAnsi="Arial" w:cs="Arial"/>
          <w:lang/>
        </w:rPr>
        <w:t>新型产业用地基准容积率指引</w:t>
      </w:r>
    </w:p>
    <w:tbl>
      <w:tblPr>
        <w:tblW w:w="0" w:type="auto"/>
        <w:jc w:val="center"/>
        <w:tblCellSpacing w:w="15" w:type="dxa"/>
        <w:tblCellMar>
          <w:top w:w="15" w:type="dxa"/>
          <w:left w:w="15" w:type="dxa"/>
          <w:bottom w:w="15" w:type="dxa"/>
          <w:right w:w="15" w:type="dxa"/>
        </w:tblCellMar>
        <w:tblLook w:val="04A0"/>
      </w:tblPr>
      <w:tblGrid>
        <w:gridCol w:w="2799"/>
        <w:gridCol w:w="2794"/>
        <w:gridCol w:w="2803"/>
      </w:tblGrid>
      <w:tr w:rsidR="00D5746B" w:rsidTr="00A1279F">
        <w:trPr>
          <w:tblCellSpacing w:w="15" w:type="dxa"/>
          <w:jc w:val="center"/>
        </w:trPr>
        <w:tc>
          <w:tcPr>
            <w:tcW w:w="284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7"/>
              <w:rPr>
                <w:rFonts w:ascii="Arial" w:hAnsi="Arial" w:cs="Arial"/>
                <w:color w:val="111111"/>
              </w:rPr>
            </w:pPr>
            <w:r>
              <w:rPr>
                <w:rStyle w:val="s31"/>
                <w:rFonts w:ascii="Arial" w:hAnsi="Arial" w:cs="Arial"/>
              </w:rPr>
              <w:t>分级</w:t>
            </w:r>
          </w:p>
        </w:tc>
        <w:tc>
          <w:tcPr>
            <w:tcW w:w="284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7"/>
              <w:rPr>
                <w:rFonts w:ascii="Arial" w:hAnsi="Arial" w:cs="Arial"/>
                <w:color w:val="111111"/>
              </w:rPr>
            </w:pPr>
            <w:r>
              <w:rPr>
                <w:rStyle w:val="s31"/>
                <w:rFonts w:ascii="Arial" w:hAnsi="Arial" w:cs="Arial"/>
              </w:rPr>
              <w:t>密度分区</w:t>
            </w:r>
          </w:p>
        </w:tc>
        <w:tc>
          <w:tcPr>
            <w:tcW w:w="284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7"/>
              <w:rPr>
                <w:rFonts w:ascii="Arial" w:hAnsi="Arial" w:cs="Arial"/>
                <w:color w:val="111111"/>
              </w:rPr>
            </w:pPr>
            <w:r>
              <w:rPr>
                <w:rStyle w:val="s31"/>
                <w:rFonts w:ascii="Arial" w:hAnsi="Arial" w:cs="Arial"/>
              </w:rPr>
              <w:t>基准容积率</w:t>
            </w:r>
          </w:p>
        </w:tc>
      </w:tr>
      <w:tr w:rsidR="00D5746B" w:rsidTr="00A1279F">
        <w:trPr>
          <w:tblCellSpacing w:w="15" w:type="dxa"/>
          <w:jc w:val="center"/>
        </w:trPr>
        <w:tc>
          <w:tcPr>
            <w:tcW w:w="284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7"/>
              <w:rPr>
                <w:rFonts w:ascii="Arial" w:hAnsi="Arial" w:cs="Arial"/>
                <w:color w:val="111111"/>
              </w:rPr>
            </w:pPr>
            <w:r>
              <w:rPr>
                <w:rStyle w:val="s31"/>
                <w:rFonts w:ascii="Arial" w:hAnsi="Arial" w:cs="Arial"/>
              </w:rPr>
              <w:t>1</w:t>
            </w:r>
          </w:p>
        </w:tc>
        <w:tc>
          <w:tcPr>
            <w:tcW w:w="284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7"/>
              <w:rPr>
                <w:rFonts w:ascii="Arial" w:hAnsi="Arial" w:cs="Arial"/>
                <w:color w:val="111111"/>
              </w:rPr>
            </w:pPr>
            <w:r>
              <w:rPr>
                <w:rStyle w:val="s31"/>
                <w:rFonts w:ascii="Arial" w:hAnsi="Arial" w:cs="Arial"/>
              </w:rPr>
              <w:t>密度一、二区</w:t>
            </w:r>
          </w:p>
        </w:tc>
        <w:tc>
          <w:tcPr>
            <w:tcW w:w="284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7"/>
              <w:rPr>
                <w:rFonts w:ascii="Arial" w:hAnsi="Arial" w:cs="Arial"/>
                <w:color w:val="111111"/>
              </w:rPr>
            </w:pPr>
            <w:r>
              <w:rPr>
                <w:rStyle w:val="s31"/>
                <w:rFonts w:ascii="Arial" w:hAnsi="Arial" w:cs="Arial"/>
              </w:rPr>
              <w:t>3.5</w:t>
            </w:r>
          </w:p>
        </w:tc>
      </w:tr>
      <w:tr w:rsidR="00D5746B" w:rsidTr="00A1279F">
        <w:trPr>
          <w:tblCellSpacing w:w="15" w:type="dxa"/>
          <w:jc w:val="center"/>
        </w:trPr>
        <w:tc>
          <w:tcPr>
            <w:tcW w:w="284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7"/>
              <w:rPr>
                <w:rFonts w:ascii="Arial" w:hAnsi="Arial" w:cs="Arial"/>
                <w:color w:val="111111"/>
              </w:rPr>
            </w:pPr>
            <w:r>
              <w:rPr>
                <w:rStyle w:val="s31"/>
                <w:rFonts w:ascii="Arial" w:hAnsi="Arial" w:cs="Arial"/>
              </w:rPr>
              <w:t>2</w:t>
            </w:r>
          </w:p>
        </w:tc>
        <w:tc>
          <w:tcPr>
            <w:tcW w:w="284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7"/>
              <w:rPr>
                <w:rFonts w:ascii="Arial" w:hAnsi="Arial" w:cs="Arial"/>
                <w:color w:val="111111"/>
              </w:rPr>
            </w:pPr>
            <w:r>
              <w:rPr>
                <w:rStyle w:val="s31"/>
                <w:rFonts w:ascii="Arial" w:hAnsi="Arial" w:cs="Arial"/>
              </w:rPr>
              <w:t>密度三、四区</w:t>
            </w:r>
          </w:p>
        </w:tc>
        <w:tc>
          <w:tcPr>
            <w:tcW w:w="284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7"/>
              <w:rPr>
                <w:rFonts w:ascii="Arial" w:hAnsi="Arial" w:cs="Arial"/>
                <w:color w:val="111111"/>
              </w:rPr>
            </w:pPr>
            <w:r>
              <w:rPr>
                <w:rStyle w:val="s31"/>
                <w:rFonts w:ascii="Arial" w:hAnsi="Arial" w:cs="Arial"/>
              </w:rPr>
              <w:t>3.0</w:t>
            </w:r>
          </w:p>
        </w:tc>
      </w:tr>
      <w:tr w:rsidR="00D5746B" w:rsidTr="00A1279F">
        <w:trPr>
          <w:tblCellSpacing w:w="15" w:type="dxa"/>
          <w:jc w:val="center"/>
        </w:trPr>
        <w:tc>
          <w:tcPr>
            <w:tcW w:w="284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7"/>
              <w:rPr>
                <w:rFonts w:ascii="Arial" w:hAnsi="Arial" w:cs="Arial"/>
                <w:color w:val="111111"/>
              </w:rPr>
            </w:pPr>
            <w:r>
              <w:rPr>
                <w:rStyle w:val="s31"/>
                <w:rFonts w:ascii="Arial" w:hAnsi="Arial" w:cs="Arial"/>
              </w:rPr>
              <w:t>3</w:t>
            </w:r>
          </w:p>
        </w:tc>
        <w:tc>
          <w:tcPr>
            <w:tcW w:w="284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7"/>
              <w:rPr>
                <w:rFonts w:ascii="Arial" w:hAnsi="Arial" w:cs="Arial"/>
                <w:color w:val="111111"/>
              </w:rPr>
            </w:pPr>
            <w:r>
              <w:rPr>
                <w:rStyle w:val="s31"/>
                <w:rFonts w:ascii="Arial" w:hAnsi="Arial" w:cs="Arial"/>
              </w:rPr>
              <w:t>密度五区</w:t>
            </w:r>
          </w:p>
        </w:tc>
        <w:tc>
          <w:tcPr>
            <w:tcW w:w="284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7"/>
              <w:rPr>
                <w:rFonts w:ascii="Arial" w:hAnsi="Arial" w:cs="Arial"/>
                <w:color w:val="111111"/>
              </w:rPr>
            </w:pPr>
            <w:r>
              <w:rPr>
                <w:rStyle w:val="s31"/>
                <w:rFonts w:ascii="Arial" w:hAnsi="Arial" w:cs="Arial"/>
              </w:rPr>
              <w:t>2.0</w:t>
            </w:r>
          </w:p>
        </w:tc>
      </w:tr>
    </w:tbl>
    <w:p w:rsidR="00D5746B" w:rsidRDefault="00D5746B" w:rsidP="00D5746B">
      <w:pPr>
        <w:pStyle w:val="p4"/>
        <w:rPr>
          <w:rFonts w:ascii="Arial" w:hAnsi="Arial" w:cs="Arial"/>
          <w:color w:val="111111"/>
          <w:lang/>
        </w:rPr>
      </w:pPr>
      <w:r>
        <w:rPr>
          <w:rStyle w:val="s21"/>
          <w:rFonts w:ascii="Arial" w:hAnsi="Arial" w:cs="Arial"/>
          <w:lang/>
        </w:rPr>
        <w:t>四、修正系数</w:t>
      </w:r>
    </w:p>
    <w:p w:rsidR="00D5746B" w:rsidRDefault="00D5746B" w:rsidP="00D5746B">
      <w:pPr>
        <w:pStyle w:val="p4"/>
        <w:rPr>
          <w:rFonts w:ascii="Arial" w:hAnsi="Arial" w:cs="Arial"/>
          <w:color w:val="111111"/>
          <w:lang/>
        </w:rPr>
      </w:pPr>
      <w:r>
        <w:rPr>
          <w:rStyle w:val="s31"/>
          <w:rFonts w:ascii="Arial" w:hAnsi="Arial" w:cs="Arial"/>
          <w:lang/>
        </w:rPr>
        <w:t>(</w:t>
      </w:r>
      <w:proofErr w:type="gramStart"/>
      <w:r>
        <w:rPr>
          <w:rStyle w:val="s31"/>
          <w:rFonts w:ascii="Arial" w:hAnsi="Arial" w:cs="Arial"/>
          <w:lang/>
        </w:rPr>
        <w:t>一</w:t>
      </w:r>
      <w:proofErr w:type="gramEnd"/>
      <w:r>
        <w:rPr>
          <w:rStyle w:val="s31"/>
          <w:rFonts w:ascii="Arial" w:hAnsi="Arial" w:cs="Arial"/>
          <w:lang/>
        </w:rPr>
        <w:t>)</w:t>
      </w:r>
      <w:r>
        <w:rPr>
          <w:rStyle w:val="s31"/>
          <w:rFonts w:ascii="Arial" w:hAnsi="Arial" w:cs="Arial"/>
          <w:lang/>
        </w:rPr>
        <w:t>组团特征修正系数</w:t>
      </w:r>
    </w:p>
    <w:p w:rsidR="00D5746B" w:rsidRDefault="00D5746B" w:rsidP="00D5746B">
      <w:pPr>
        <w:pStyle w:val="p4"/>
        <w:rPr>
          <w:rFonts w:ascii="Arial" w:hAnsi="Arial" w:cs="Arial"/>
          <w:color w:val="111111"/>
          <w:lang/>
        </w:rPr>
      </w:pPr>
      <w:r>
        <w:rPr>
          <w:rStyle w:val="s31"/>
          <w:rFonts w:ascii="Arial" w:hAnsi="Arial" w:cs="Arial"/>
          <w:lang/>
        </w:rPr>
        <w:t>为强化</w:t>
      </w:r>
      <w:proofErr w:type="gramStart"/>
      <w:r>
        <w:rPr>
          <w:rStyle w:val="s31"/>
          <w:rFonts w:ascii="Arial" w:hAnsi="Arial" w:cs="Arial"/>
          <w:lang/>
        </w:rPr>
        <w:t>市域六大</w:t>
      </w:r>
      <w:proofErr w:type="gramEnd"/>
      <w:r>
        <w:rPr>
          <w:rStyle w:val="s31"/>
          <w:rFonts w:ascii="Arial" w:hAnsi="Arial" w:cs="Arial"/>
          <w:lang/>
        </w:rPr>
        <w:t>组团分区的风貌特色，充分体现空间开发强度差异，形成组团的地方风貌特征，居住用地、商业服务业用地及新型产</w:t>
      </w:r>
      <w:r>
        <w:rPr>
          <w:rStyle w:val="s31"/>
          <w:rFonts w:ascii="Arial" w:hAnsi="Arial" w:cs="Arial"/>
          <w:lang/>
        </w:rPr>
        <w:lastRenderedPageBreak/>
        <w:t>业用地地块基础建筑面积计算时，应根据组团特征系数进行容积率修正，组团特征修正系数应按表</w:t>
      </w:r>
      <w:r>
        <w:rPr>
          <w:rStyle w:val="s31"/>
          <w:rFonts w:ascii="Arial" w:hAnsi="Arial" w:cs="Arial"/>
          <w:lang/>
        </w:rPr>
        <w:t>5</w:t>
      </w:r>
      <w:r>
        <w:rPr>
          <w:rStyle w:val="s31"/>
          <w:rFonts w:ascii="Arial" w:hAnsi="Arial" w:cs="Arial"/>
          <w:lang/>
        </w:rPr>
        <w:t>执行。</w:t>
      </w:r>
    </w:p>
    <w:p w:rsidR="00D5746B" w:rsidRDefault="00D5746B" w:rsidP="00D5746B">
      <w:pPr>
        <w:pStyle w:val="p3"/>
        <w:rPr>
          <w:rFonts w:ascii="Arial" w:hAnsi="Arial" w:cs="Arial"/>
          <w:color w:val="111111"/>
          <w:lang/>
        </w:rPr>
      </w:pPr>
      <w:r>
        <w:rPr>
          <w:rStyle w:val="s21"/>
          <w:rFonts w:ascii="Arial" w:hAnsi="Arial" w:cs="Arial"/>
          <w:lang/>
        </w:rPr>
        <w:t>表</w:t>
      </w:r>
      <w:r>
        <w:rPr>
          <w:rStyle w:val="s21"/>
          <w:rFonts w:ascii="Arial" w:hAnsi="Arial" w:cs="Arial"/>
          <w:lang/>
        </w:rPr>
        <w:t>5</w:t>
      </w:r>
      <w:r>
        <w:rPr>
          <w:rStyle w:val="s21"/>
          <w:rFonts w:ascii="Arial" w:hAnsi="Arial" w:cs="Arial"/>
          <w:lang/>
        </w:rPr>
        <w:t>组团特征修正系数</w:t>
      </w:r>
    </w:p>
    <w:tbl>
      <w:tblPr>
        <w:tblW w:w="0" w:type="auto"/>
        <w:jc w:val="center"/>
        <w:tblCellSpacing w:w="15" w:type="dxa"/>
        <w:tblCellMar>
          <w:top w:w="15" w:type="dxa"/>
          <w:left w:w="15" w:type="dxa"/>
          <w:bottom w:w="15" w:type="dxa"/>
          <w:right w:w="15" w:type="dxa"/>
        </w:tblCellMar>
        <w:tblLook w:val="04A0"/>
      </w:tblPr>
      <w:tblGrid>
        <w:gridCol w:w="4194"/>
        <w:gridCol w:w="4202"/>
      </w:tblGrid>
      <w:tr w:rsidR="00D5746B" w:rsidTr="00A1279F">
        <w:trPr>
          <w:tblCellSpacing w:w="15" w:type="dxa"/>
          <w:jc w:val="center"/>
        </w:trPr>
        <w:tc>
          <w:tcPr>
            <w:tcW w:w="4261"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3"/>
              <w:rPr>
                <w:rFonts w:ascii="Arial" w:hAnsi="Arial" w:cs="Arial"/>
                <w:color w:val="111111"/>
              </w:rPr>
            </w:pPr>
            <w:r>
              <w:rPr>
                <w:rStyle w:val="s31"/>
                <w:rFonts w:ascii="Arial" w:hAnsi="Arial" w:cs="Arial"/>
              </w:rPr>
              <w:t>组团</w:t>
            </w:r>
          </w:p>
        </w:tc>
        <w:tc>
          <w:tcPr>
            <w:tcW w:w="4261"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3"/>
              <w:rPr>
                <w:rFonts w:ascii="Arial" w:hAnsi="Arial" w:cs="Arial"/>
                <w:color w:val="111111"/>
              </w:rPr>
            </w:pPr>
            <w:r>
              <w:rPr>
                <w:rStyle w:val="s31"/>
                <w:rFonts w:ascii="Arial" w:hAnsi="Arial" w:cs="Arial"/>
              </w:rPr>
              <w:t>修正系数</w:t>
            </w:r>
          </w:p>
        </w:tc>
      </w:tr>
      <w:tr w:rsidR="00D5746B" w:rsidTr="00A1279F">
        <w:trPr>
          <w:tblCellSpacing w:w="15" w:type="dxa"/>
          <w:jc w:val="center"/>
        </w:trPr>
        <w:tc>
          <w:tcPr>
            <w:tcW w:w="4261"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3"/>
              <w:rPr>
                <w:rFonts w:ascii="Arial" w:hAnsi="Arial" w:cs="Arial"/>
                <w:color w:val="111111"/>
              </w:rPr>
            </w:pPr>
            <w:r>
              <w:rPr>
                <w:rStyle w:val="s31"/>
                <w:rFonts w:ascii="Arial" w:hAnsi="Arial" w:cs="Arial"/>
              </w:rPr>
              <w:t>城区片区</w:t>
            </w:r>
          </w:p>
        </w:tc>
        <w:tc>
          <w:tcPr>
            <w:tcW w:w="4261"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3"/>
              <w:rPr>
                <w:rFonts w:ascii="Arial" w:hAnsi="Arial" w:cs="Arial"/>
                <w:color w:val="111111"/>
              </w:rPr>
            </w:pPr>
            <w:r>
              <w:rPr>
                <w:rStyle w:val="s31"/>
                <w:rFonts w:ascii="Arial" w:hAnsi="Arial" w:cs="Arial"/>
              </w:rPr>
              <w:t>1.2</w:t>
            </w:r>
          </w:p>
        </w:tc>
      </w:tr>
      <w:tr w:rsidR="00D5746B" w:rsidTr="00A1279F">
        <w:trPr>
          <w:tblCellSpacing w:w="15" w:type="dxa"/>
          <w:jc w:val="center"/>
        </w:trPr>
        <w:tc>
          <w:tcPr>
            <w:tcW w:w="4261"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3"/>
              <w:rPr>
                <w:rFonts w:ascii="Arial" w:hAnsi="Arial" w:cs="Arial"/>
                <w:color w:val="111111"/>
              </w:rPr>
            </w:pPr>
            <w:r>
              <w:rPr>
                <w:rStyle w:val="s31"/>
                <w:rFonts w:ascii="Arial" w:hAnsi="Arial" w:cs="Arial"/>
              </w:rPr>
              <w:t>滨海湾片区</w:t>
            </w:r>
          </w:p>
        </w:tc>
        <w:tc>
          <w:tcPr>
            <w:tcW w:w="4261"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3"/>
              <w:rPr>
                <w:rFonts w:ascii="Arial" w:hAnsi="Arial" w:cs="Arial"/>
                <w:color w:val="111111"/>
              </w:rPr>
            </w:pPr>
            <w:r>
              <w:rPr>
                <w:rStyle w:val="s31"/>
                <w:rFonts w:ascii="Arial" w:hAnsi="Arial" w:cs="Arial"/>
              </w:rPr>
              <w:t>1.15</w:t>
            </w:r>
          </w:p>
        </w:tc>
      </w:tr>
      <w:tr w:rsidR="00D5746B" w:rsidTr="00A1279F">
        <w:trPr>
          <w:tblCellSpacing w:w="15" w:type="dxa"/>
          <w:jc w:val="center"/>
        </w:trPr>
        <w:tc>
          <w:tcPr>
            <w:tcW w:w="4261"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3"/>
              <w:rPr>
                <w:rFonts w:ascii="Arial" w:hAnsi="Arial" w:cs="Arial"/>
                <w:color w:val="111111"/>
              </w:rPr>
            </w:pPr>
            <w:r>
              <w:rPr>
                <w:rStyle w:val="s31"/>
                <w:rFonts w:ascii="Arial" w:hAnsi="Arial" w:cs="Arial"/>
              </w:rPr>
              <w:t>松山湖片区</w:t>
            </w:r>
          </w:p>
        </w:tc>
        <w:tc>
          <w:tcPr>
            <w:tcW w:w="4261"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3"/>
              <w:rPr>
                <w:rFonts w:ascii="Arial" w:hAnsi="Arial" w:cs="Arial"/>
                <w:color w:val="111111"/>
              </w:rPr>
            </w:pPr>
            <w:r>
              <w:rPr>
                <w:rStyle w:val="s31"/>
                <w:rFonts w:ascii="Arial" w:hAnsi="Arial" w:cs="Arial"/>
              </w:rPr>
              <w:t>1.1</w:t>
            </w:r>
          </w:p>
        </w:tc>
      </w:tr>
      <w:tr w:rsidR="00D5746B" w:rsidTr="00A1279F">
        <w:trPr>
          <w:tblCellSpacing w:w="15" w:type="dxa"/>
          <w:jc w:val="center"/>
        </w:trPr>
        <w:tc>
          <w:tcPr>
            <w:tcW w:w="4261"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3"/>
              <w:rPr>
                <w:rFonts w:ascii="Arial" w:hAnsi="Arial" w:cs="Arial"/>
                <w:color w:val="111111"/>
              </w:rPr>
            </w:pPr>
            <w:r>
              <w:rPr>
                <w:rStyle w:val="s31"/>
                <w:rFonts w:ascii="Arial" w:hAnsi="Arial" w:cs="Arial"/>
              </w:rPr>
              <w:t>东南临深片区</w:t>
            </w:r>
          </w:p>
        </w:tc>
        <w:tc>
          <w:tcPr>
            <w:tcW w:w="4261"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3"/>
              <w:rPr>
                <w:rFonts w:ascii="Arial" w:hAnsi="Arial" w:cs="Arial"/>
                <w:color w:val="111111"/>
              </w:rPr>
            </w:pPr>
            <w:r>
              <w:rPr>
                <w:rStyle w:val="s31"/>
                <w:rFonts w:ascii="Arial" w:hAnsi="Arial" w:cs="Arial"/>
              </w:rPr>
              <w:t>1.1</w:t>
            </w:r>
          </w:p>
        </w:tc>
      </w:tr>
      <w:tr w:rsidR="00D5746B" w:rsidTr="00A1279F">
        <w:trPr>
          <w:tblCellSpacing w:w="15" w:type="dxa"/>
          <w:jc w:val="center"/>
        </w:trPr>
        <w:tc>
          <w:tcPr>
            <w:tcW w:w="4261"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3"/>
              <w:rPr>
                <w:rFonts w:ascii="Arial" w:hAnsi="Arial" w:cs="Arial"/>
                <w:color w:val="111111"/>
              </w:rPr>
            </w:pPr>
            <w:r>
              <w:rPr>
                <w:rStyle w:val="s31"/>
                <w:rFonts w:ascii="Arial" w:hAnsi="Arial" w:cs="Arial"/>
              </w:rPr>
              <w:t>东部产业园片区</w:t>
            </w:r>
          </w:p>
        </w:tc>
        <w:tc>
          <w:tcPr>
            <w:tcW w:w="4261"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3"/>
              <w:rPr>
                <w:rFonts w:ascii="Arial" w:hAnsi="Arial" w:cs="Arial"/>
                <w:color w:val="111111"/>
              </w:rPr>
            </w:pPr>
            <w:r>
              <w:rPr>
                <w:rStyle w:val="s31"/>
                <w:rFonts w:ascii="Arial" w:hAnsi="Arial" w:cs="Arial"/>
              </w:rPr>
              <w:t>1.05</w:t>
            </w:r>
          </w:p>
        </w:tc>
      </w:tr>
      <w:tr w:rsidR="00D5746B" w:rsidTr="00A1279F">
        <w:trPr>
          <w:tblCellSpacing w:w="15" w:type="dxa"/>
          <w:jc w:val="center"/>
        </w:trPr>
        <w:tc>
          <w:tcPr>
            <w:tcW w:w="4261"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3"/>
              <w:rPr>
                <w:rFonts w:ascii="Arial" w:hAnsi="Arial" w:cs="Arial"/>
                <w:color w:val="111111"/>
              </w:rPr>
            </w:pPr>
            <w:r>
              <w:rPr>
                <w:rStyle w:val="s31"/>
                <w:rFonts w:ascii="Arial" w:hAnsi="Arial" w:cs="Arial"/>
              </w:rPr>
              <w:t>水乡新城片区</w:t>
            </w:r>
          </w:p>
        </w:tc>
        <w:tc>
          <w:tcPr>
            <w:tcW w:w="4261"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3"/>
              <w:rPr>
                <w:rFonts w:ascii="Arial" w:hAnsi="Arial" w:cs="Arial"/>
                <w:color w:val="111111"/>
              </w:rPr>
            </w:pPr>
            <w:r>
              <w:rPr>
                <w:rStyle w:val="s31"/>
                <w:rFonts w:ascii="Arial" w:hAnsi="Arial" w:cs="Arial"/>
              </w:rPr>
              <w:t>1</w:t>
            </w:r>
          </w:p>
        </w:tc>
      </w:tr>
    </w:tbl>
    <w:p w:rsidR="00D5746B" w:rsidRDefault="00D5746B" w:rsidP="00D5746B">
      <w:pPr>
        <w:pStyle w:val="p4"/>
        <w:rPr>
          <w:rFonts w:ascii="Arial" w:hAnsi="Arial" w:cs="Arial"/>
          <w:color w:val="111111"/>
          <w:lang/>
        </w:rPr>
      </w:pPr>
      <w:r>
        <w:rPr>
          <w:rStyle w:val="s31"/>
          <w:rFonts w:ascii="Arial" w:hAnsi="Arial" w:cs="Arial"/>
          <w:lang/>
        </w:rPr>
        <w:t>(</w:t>
      </w:r>
      <w:r>
        <w:rPr>
          <w:rStyle w:val="s31"/>
          <w:rFonts w:ascii="Arial" w:hAnsi="Arial" w:cs="Arial"/>
          <w:lang/>
        </w:rPr>
        <w:t>二</w:t>
      </w:r>
      <w:r>
        <w:rPr>
          <w:rStyle w:val="s31"/>
          <w:rFonts w:ascii="Arial" w:hAnsi="Arial" w:cs="Arial"/>
          <w:lang/>
        </w:rPr>
        <w:t>)</w:t>
      </w:r>
      <w:r>
        <w:rPr>
          <w:rStyle w:val="s31"/>
          <w:rFonts w:ascii="Arial" w:hAnsi="Arial" w:cs="Arial"/>
          <w:lang/>
        </w:rPr>
        <w:t>地块规模修正系数</w:t>
      </w:r>
    </w:p>
    <w:p w:rsidR="00D5746B" w:rsidRDefault="00D5746B" w:rsidP="00D5746B">
      <w:pPr>
        <w:pStyle w:val="p4"/>
        <w:rPr>
          <w:rFonts w:ascii="Arial" w:hAnsi="Arial" w:cs="Arial"/>
          <w:color w:val="111111"/>
          <w:lang/>
        </w:rPr>
      </w:pPr>
      <w:r>
        <w:rPr>
          <w:rStyle w:val="s31"/>
          <w:rFonts w:ascii="Arial" w:hAnsi="Arial" w:cs="Arial"/>
          <w:lang/>
        </w:rPr>
        <w:t>地块建筑面积及容积率与地块规模有关，一般情况下，居住用地、商业服务业用地、新型产业用地的基准用地规模应按表</w:t>
      </w:r>
      <w:r>
        <w:rPr>
          <w:rStyle w:val="s31"/>
          <w:rFonts w:ascii="Arial" w:hAnsi="Arial" w:cs="Arial"/>
          <w:lang/>
        </w:rPr>
        <w:t>6</w:t>
      </w:r>
      <w:r>
        <w:rPr>
          <w:rStyle w:val="s31"/>
          <w:rFonts w:ascii="Arial" w:hAnsi="Arial" w:cs="Arial"/>
          <w:lang/>
        </w:rPr>
        <w:t>执行。地块小于等于基准用地规模时，地块建筑面积及容积率不进行折减。地块面积大于基准用地规模时，地块修正系数按每增加</w:t>
      </w:r>
      <w:r>
        <w:rPr>
          <w:rStyle w:val="s31"/>
          <w:rFonts w:ascii="Arial" w:hAnsi="Arial" w:cs="Arial"/>
          <w:lang/>
        </w:rPr>
        <w:t>0.</w:t>
      </w:r>
      <w:proofErr w:type="gramStart"/>
      <w:r>
        <w:rPr>
          <w:rStyle w:val="s31"/>
          <w:rFonts w:ascii="Arial" w:hAnsi="Arial" w:cs="Arial"/>
          <w:lang/>
        </w:rPr>
        <w:t>1</w:t>
      </w:r>
      <w:r>
        <w:rPr>
          <w:rStyle w:val="s31"/>
          <w:rFonts w:ascii="Arial" w:hAnsi="Arial" w:cs="Arial"/>
          <w:lang/>
        </w:rPr>
        <w:t>公顷折减</w:t>
      </w:r>
      <w:proofErr w:type="gramEnd"/>
      <w:r>
        <w:rPr>
          <w:rStyle w:val="s31"/>
          <w:rFonts w:ascii="Arial" w:hAnsi="Arial" w:cs="Arial"/>
          <w:lang/>
        </w:rPr>
        <w:t>0.005</w:t>
      </w:r>
      <w:r>
        <w:rPr>
          <w:rStyle w:val="s31"/>
          <w:rFonts w:ascii="Arial" w:hAnsi="Arial" w:cs="Arial"/>
          <w:lang/>
        </w:rPr>
        <w:t>累加计算，不足</w:t>
      </w:r>
      <w:r>
        <w:rPr>
          <w:rStyle w:val="s31"/>
          <w:rFonts w:ascii="Arial" w:hAnsi="Arial" w:cs="Arial"/>
          <w:lang/>
        </w:rPr>
        <w:t>0.1</w:t>
      </w:r>
      <w:r>
        <w:rPr>
          <w:rStyle w:val="s31"/>
          <w:rFonts w:ascii="Arial" w:hAnsi="Arial" w:cs="Arial"/>
          <w:lang/>
        </w:rPr>
        <w:t>公顷按</w:t>
      </w:r>
      <w:r>
        <w:rPr>
          <w:rStyle w:val="s31"/>
          <w:rFonts w:ascii="Arial" w:hAnsi="Arial" w:cs="Arial"/>
          <w:lang/>
        </w:rPr>
        <w:t>0.1</w:t>
      </w:r>
      <w:r>
        <w:rPr>
          <w:rStyle w:val="s31"/>
          <w:rFonts w:ascii="Arial" w:hAnsi="Arial" w:cs="Arial"/>
          <w:lang/>
        </w:rPr>
        <w:t>公顷修正，最大折减值为</w:t>
      </w:r>
      <w:r>
        <w:rPr>
          <w:rStyle w:val="s31"/>
          <w:rFonts w:ascii="Arial" w:hAnsi="Arial" w:cs="Arial"/>
          <w:lang/>
        </w:rPr>
        <w:t>0.3</w:t>
      </w:r>
      <w:r>
        <w:rPr>
          <w:rStyle w:val="s31"/>
          <w:rFonts w:ascii="Arial" w:hAnsi="Arial" w:cs="Arial"/>
          <w:lang/>
        </w:rPr>
        <w:t>混合用地的基准用地规模取低值进行计算，例如商住混合用地，其基准用地规模为</w:t>
      </w:r>
      <w:r>
        <w:rPr>
          <w:rStyle w:val="s31"/>
          <w:rFonts w:ascii="Arial" w:hAnsi="Arial" w:cs="Arial"/>
          <w:lang/>
        </w:rPr>
        <w:t>2</w:t>
      </w:r>
      <w:r>
        <w:rPr>
          <w:rStyle w:val="s31"/>
          <w:rFonts w:ascii="Arial" w:hAnsi="Arial" w:cs="Arial"/>
          <w:lang/>
        </w:rPr>
        <w:t>公顷</w:t>
      </w:r>
      <w:r>
        <w:rPr>
          <w:rStyle w:val="s31"/>
          <w:rFonts w:ascii="Arial" w:hAnsi="Arial" w:cs="Arial"/>
          <w:lang/>
        </w:rPr>
        <w:t>(</w:t>
      </w:r>
      <w:r>
        <w:rPr>
          <w:rStyle w:val="s31"/>
          <w:rFonts w:ascii="Arial" w:hAnsi="Arial" w:cs="Arial"/>
          <w:lang/>
        </w:rPr>
        <w:t>即商业服务业用地基准用地规模</w:t>
      </w:r>
      <w:r>
        <w:rPr>
          <w:rStyle w:val="s31"/>
          <w:rFonts w:ascii="Arial" w:hAnsi="Arial" w:cs="Arial"/>
          <w:lang/>
        </w:rPr>
        <w:t>)</w:t>
      </w:r>
      <w:r>
        <w:rPr>
          <w:rStyle w:val="s31"/>
          <w:rFonts w:ascii="Arial" w:hAnsi="Arial" w:cs="Arial"/>
          <w:lang/>
        </w:rPr>
        <w:t>。</w:t>
      </w:r>
    </w:p>
    <w:p w:rsidR="00D5746B" w:rsidRDefault="00D5746B" w:rsidP="00D5746B">
      <w:pPr>
        <w:pStyle w:val="p3"/>
        <w:rPr>
          <w:rFonts w:ascii="Arial" w:hAnsi="Arial" w:cs="Arial"/>
          <w:color w:val="111111"/>
          <w:lang/>
        </w:rPr>
      </w:pPr>
      <w:r>
        <w:rPr>
          <w:rStyle w:val="s21"/>
          <w:rFonts w:ascii="Arial" w:hAnsi="Arial" w:cs="Arial"/>
          <w:lang/>
        </w:rPr>
        <w:lastRenderedPageBreak/>
        <w:t>表</w:t>
      </w:r>
      <w:r>
        <w:rPr>
          <w:rStyle w:val="s21"/>
          <w:rFonts w:ascii="Arial" w:hAnsi="Arial" w:cs="Arial"/>
          <w:lang/>
        </w:rPr>
        <w:t>6</w:t>
      </w:r>
      <w:r>
        <w:rPr>
          <w:rStyle w:val="s21"/>
          <w:rFonts w:ascii="Arial" w:hAnsi="Arial" w:cs="Arial"/>
          <w:lang/>
        </w:rPr>
        <w:t>基准用地规模</w:t>
      </w:r>
    </w:p>
    <w:tbl>
      <w:tblPr>
        <w:tblW w:w="0" w:type="auto"/>
        <w:jc w:val="center"/>
        <w:tblCellSpacing w:w="15" w:type="dxa"/>
        <w:tblCellMar>
          <w:top w:w="15" w:type="dxa"/>
          <w:left w:w="15" w:type="dxa"/>
          <w:bottom w:w="15" w:type="dxa"/>
          <w:right w:w="15" w:type="dxa"/>
        </w:tblCellMar>
        <w:tblLook w:val="04A0"/>
      </w:tblPr>
      <w:tblGrid>
        <w:gridCol w:w="4198"/>
        <w:gridCol w:w="4198"/>
      </w:tblGrid>
      <w:tr w:rsidR="00D5746B" w:rsidTr="00A1279F">
        <w:trPr>
          <w:tblCellSpacing w:w="15" w:type="dxa"/>
          <w:jc w:val="center"/>
        </w:trPr>
        <w:tc>
          <w:tcPr>
            <w:tcW w:w="4261"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3"/>
              <w:rPr>
                <w:rFonts w:ascii="Arial" w:hAnsi="Arial" w:cs="Arial"/>
                <w:color w:val="111111"/>
              </w:rPr>
            </w:pPr>
            <w:r>
              <w:rPr>
                <w:rStyle w:val="s31"/>
                <w:rFonts w:ascii="Arial" w:hAnsi="Arial" w:cs="Arial"/>
              </w:rPr>
              <w:t>用地功能</w:t>
            </w:r>
          </w:p>
        </w:tc>
        <w:tc>
          <w:tcPr>
            <w:tcW w:w="4261"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3"/>
              <w:rPr>
                <w:rFonts w:ascii="Arial" w:hAnsi="Arial" w:cs="Arial"/>
                <w:color w:val="111111"/>
              </w:rPr>
            </w:pPr>
            <w:r>
              <w:rPr>
                <w:rStyle w:val="s31"/>
                <w:rFonts w:ascii="Arial" w:hAnsi="Arial" w:cs="Arial"/>
              </w:rPr>
              <w:t>基准用地规模</w:t>
            </w:r>
          </w:p>
        </w:tc>
      </w:tr>
      <w:tr w:rsidR="00D5746B" w:rsidTr="00A1279F">
        <w:trPr>
          <w:tblCellSpacing w:w="15" w:type="dxa"/>
          <w:jc w:val="center"/>
        </w:trPr>
        <w:tc>
          <w:tcPr>
            <w:tcW w:w="4261"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3"/>
              <w:rPr>
                <w:rFonts w:ascii="Arial" w:hAnsi="Arial" w:cs="Arial"/>
                <w:color w:val="111111"/>
              </w:rPr>
            </w:pPr>
            <w:r>
              <w:rPr>
                <w:rStyle w:val="s31"/>
                <w:rFonts w:ascii="Arial" w:hAnsi="Arial" w:cs="Arial"/>
              </w:rPr>
              <w:t>居住用地</w:t>
            </w:r>
          </w:p>
        </w:tc>
        <w:tc>
          <w:tcPr>
            <w:tcW w:w="4261"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3"/>
              <w:rPr>
                <w:rFonts w:ascii="Arial" w:hAnsi="Arial" w:cs="Arial"/>
                <w:color w:val="111111"/>
              </w:rPr>
            </w:pPr>
            <w:r>
              <w:rPr>
                <w:rStyle w:val="s31"/>
                <w:rFonts w:ascii="Arial" w:hAnsi="Arial" w:cs="Arial"/>
              </w:rPr>
              <w:t>3</w:t>
            </w:r>
            <w:r>
              <w:rPr>
                <w:rStyle w:val="s31"/>
                <w:rFonts w:ascii="Arial" w:hAnsi="Arial" w:cs="Arial"/>
              </w:rPr>
              <w:t>公顷</w:t>
            </w:r>
          </w:p>
        </w:tc>
      </w:tr>
      <w:tr w:rsidR="00D5746B" w:rsidTr="00A1279F">
        <w:trPr>
          <w:tblCellSpacing w:w="15" w:type="dxa"/>
          <w:jc w:val="center"/>
        </w:trPr>
        <w:tc>
          <w:tcPr>
            <w:tcW w:w="4261"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3"/>
              <w:rPr>
                <w:rFonts w:ascii="Arial" w:hAnsi="Arial" w:cs="Arial"/>
                <w:color w:val="111111"/>
              </w:rPr>
            </w:pPr>
            <w:r>
              <w:rPr>
                <w:rStyle w:val="s31"/>
                <w:rFonts w:ascii="Arial" w:hAnsi="Arial" w:cs="Arial"/>
              </w:rPr>
              <w:t>商业服务业用地</w:t>
            </w:r>
          </w:p>
        </w:tc>
        <w:tc>
          <w:tcPr>
            <w:tcW w:w="4261"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3"/>
              <w:rPr>
                <w:rFonts w:ascii="Arial" w:hAnsi="Arial" w:cs="Arial"/>
                <w:color w:val="111111"/>
              </w:rPr>
            </w:pPr>
            <w:r>
              <w:rPr>
                <w:rStyle w:val="s31"/>
                <w:rFonts w:ascii="Arial" w:hAnsi="Arial" w:cs="Arial"/>
              </w:rPr>
              <w:t>2</w:t>
            </w:r>
            <w:r>
              <w:rPr>
                <w:rStyle w:val="s31"/>
                <w:rFonts w:ascii="Arial" w:hAnsi="Arial" w:cs="Arial"/>
              </w:rPr>
              <w:t>公顷</w:t>
            </w:r>
          </w:p>
        </w:tc>
      </w:tr>
      <w:tr w:rsidR="00D5746B" w:rsidTr="00A1279F">
        <w:trPr>
          <w:tblCellSpacing w:w="15" w:type="dxa"/>
          <w:jc w:val="center"/>
        </w:trPr>
        <w:tc>
          <w:tcPr>
            <w:tcW w:w="4261"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3"/>
              <w:rPr>
                <w:rFonts w:ascii="Arial" w:hAnsi="Arial" w:cs="Arial"/>
                <w:color w:val="111111"/>
              </w:rPr>
            </w:pPr>
            <w:r>
              <w:rPr>
                <w:rStyle w:val="s31"/>
                <w:rFonts w:ascii="Arial" w:hAnsi="Arial" w:cs="Arial"/>
              </w:rPr>
              <w:t>新型产业用地</w:t>
            </w:r>
          </w:p>
        </w:tc>
        <w:tc>
          <w:tcPr>
            <w:tcW w:w="4261"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3"/>
              <w:rPr>
                <w:rFonts w:ascii="Arial" w:hAnsi="Arial" w:cs="Arial"/>
                <w:color w:val="111111"/>
              </w:rPr>
            </w:pPr>
            <w:r>
              <w:rPr>
                <w:rStyle w:val="s31"/>
                <w:rFonts w:ascii="Arial" w:hAnsi="Arial" w:cs="Arial"/>
              </w:rPr>
              <w:t>4</w:t>
            </w:r>
            <w:r>
              <w:rPr>
                <w:rStyle w:val="s31"/>
                <w:rFonts w:ascii="Arial" w:hAnsi="Arial" w:cs="Arial"/>
              </w:rPr>
              <w:t>公顷</w:t>
            </w:r>
          </w:p>
        </w:tc>
      </w:tr>
    </w:tbl>
    <w:p w:rsidR="00D5746B" w:rsidRDefault="00D5746B" w:rsidP="00D5746B">
      <w:pPr>
        <w:pStyle w:val="p4"/>
        <w:rPr>
          <w:rFonts w:ascii="Arial" w:hAnsi="Arial" w:cs="Arial"/>
          <w:color w:val="111111"/>
          <w:lang/>
        </w:rPr>
      </w:pPr>
      <w:r>
        <w:rPr>
          <w:rStyle w:val="s31"/>
          <w:rFonts w:ascii="Arial" w:hAnsi="Arial" w:cs="Arial"/>
          <w:lang/>
        </w:rPr>
        <w:t>(</w:t>
      </w:r>
      <w:r>
        <w:rPr>
          <w:rStyle w:val="s31"/>
          <w:rFonts w:ascii="Arial" w:hAnsi="Arial" w:cs="Arial"/>
          <w:lang/>
        </w:rPr>
        <w:t>三</w:t>
      </w:r>
      <w:r>
        <w:rPr>
          <w:rStyle w:val="s31"/>
          <w:rFonts w:ascii="Arial" w:hAnsi="Arial" w:cs="Arial"/>
          <w:lang/>
        </w:rPr>
        <w:t>)</w:t>
      </w:r>
      <w:r>
        <w:rPr>
          <w:rStyle w:val="s31"/>
          <w:rFonts w:ascii="Arial" w:hAnsi="Arial" w:cs="Arial"/>
          <w:lang/>
        </w:rPr>
        <w:t>周边道路修正系数</w:t>
      </w:r>
    </w:p>
    <w:p w:rsidR="00D5746B" w:rsidRDefault="00D5746B" w:rsidP="00D5746B">
      <w:pPr>
        <w:pStyle w:val="p4"/>
        <w:rPr>
          <w:rFonts w:ascii="Arial" w:hAnsi="Arial" w:cs="Arial"/>
          <w:color w:val="111111"/>
          <w:lang/>
        </w:rPr>
      </w:pPr>
      <w:r>
        <w:rPr>
          <w:rStyle w:val="s31"/>
          <w:rFonts w:ascii="Arial" w:hAnsi="Arial" w:cs="Arial"/>
          <w:lang/>
        </w:rPr>
        <w:t>居住用地、商业服务业用地及新型产业用地地块基础建筑面积计算时，应根据地块周边道路情况进行容积率修正。周边道路修正系数应按表</w:t>
      </w:r>
      <w:r>
        <w:rPr>
          <w:rStyle w:val="s31"/>
          <w:rFonts w:ascii="Arial" w:hAnsi="Arial" w:cs="Arial"/>
          <w:lang/>
        </w:rPr>
        <w:t>7</w:t>
      </w:r>
      <w:r>
        <w:rPr>
          <w:rStyle w:val="s31"/>
          <w:rFonts w:ascii="Arial" w:hAnsi="Arial" w:cs="Arial"/>
          <w:lang/>
        </w:rPr>
        <w:t>执行。可获得修正系数的周边道路须是现状道路或是纳入近期实施计划的规划道路，且道路红线宽度不低于</w:t>
      </w:r>
      <w:r>
        <w:rPr>
          <w:rStyle w:val="s31"/>
          <w:rFonts w:ascii="Arial" w:hAnsi="Arial" w:cs="Arial"/>
          <w:lang/>
        </w:rPr>
        <w:t>10</w:t>
      </w:r>
      <w:r>
        <w:rPr>
          <w:rStyle w:val="s31"/>
          <w:rFonts w:ascii="Arial" w:hAnsi="Arial" w:cs="Arial"/>
          <w:lang/>
        </w:rPr>
        <w:t>米。周边道路不包含高速公路以及无辅道的快速路。</w:t>
      </w:r>
    </w:p>
    <w:p w:rsidR="00D5746B" w:rsidRDefault="00D5746B" w:rsidP="00D5746B">
      <w:pPr>
        <w:pStyle w:val="p3"/>
        <w:rPr>
          <w:rFonts w:ascii="Arial" w:hAnsi="Arial" w:cs="Arial"/>
          <w:color w:val="111111"/>
          <w:lang/>
        </w:rPr>
      </w:pPr>
      <w:r>
        <w:rPr>
          <w:rStyle w:val="s21"/>
          <w:rFonts w:ascii="Arial" w:hAnsi="Arial" w:cs="Arial"/>
          <w:lang/>
        </w:rPr>
        <w:t>表</w:t>
      </w:r>
      <w:r>
        <w:rPr>
          <w:rStyle w:val="s21"/>
          <w:rFonts w:ascii="Arial" w:hAnsi="Arial" w:cs="Arial"/>
          <w:lang/>
        </w:rPr>
        <w:t>7</w:t>
      </w:r>
      <w:r>
        <w:rPr>
          <w:rStyle w:val="s21"/>
          <w:rFonts w:ascii="Arial" w:hAnsi="Arial" w:cs="Arial"/>
          <w:lang/>
        </w:rPr>
        <w:t>周边道路修正系数</w:t>
      </w:r>
    </w:p>
    <w:tbl>
      <w:tblPr>
        <w:tblW w:w="0" w:type="auto"/>
        <w:jc w:val="center"/>
        <w:tblCellSpacing w:w="15" w:type="dxa"/>
        <w:tblCellMar>
          <w:top w:w="15" w:type="dxa"/>
          <w:left w:w="15" w:type="dxa"/>
          <w:bottom w:w="15" w:type="dxa"/>
          <w:right w:w="15" w:type="dxa"/>
        </w:tblCellMar>
        <w:tblLook w:val="04A0"/>
      </w:tblPr>
      <w:tblGrid>
        <w:gridCol w:w="1680"/>
        <w:gridCol w:w="1666"/>
        <w:gridCol w:w="1675"/>
        <w:gridCol w:w="1684"/>
        <w:gridCol w:w="1691"/>
      </w:tblGrid>
      <w:tr w:rsidR="00D5746B" w:rsidTr="00A1279F">
        <w:trPr>
          <w:tblCellSpacing w:w="15" w:type="dxa"/>
          <w:jc w:val="center"/>
        </w:trPr>
        <w:tc>
          <w:tcPr>
            <w:tcW w:w="170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3"/>
              <w:rPr>
                <w:rFonts w:ascii="Arial" w:hAnsi="Arial" w:cs="Arial"/>
                <w:color w:val="111111"/>
              </w:rPr>
            </w:pPr>
            <w:r>
              <w:rPr>
                <w:rStyle w:val="s31"/>
                <w:rFonts w:ascii="Arial" w:hAnsi="Arial" w:cs="Arial"/>
              </w:rPr>
              <w:t>地块类别</w:t>
            </w:r>
          </w:p>
        </w:tc>
        <w:tc>
          <w:tcPr>
            <w:tcW w:w="170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3"/>
              <w:rPr>
                <w:rFonts w:ascii="Arial" w:hAnsi="Arial" w:cs="Arial"/>
                <w:color w:val="111111"/>
              </w:rPr>
            </w:pPr>
            <w:r>
              <w:rPr>
                <w:rStyle w:val="s31"/>
                <w:rFonts w:ascii="Arial" w:hAnsi="Arial" w:cs="Arial"/>
              </w:rPr>
              <w:t>一边临路</w:t>
            </w:r>
          </w:p>
        </w:tc>
        <w:tc>
          <w:tcPr>
            <w:tcW w:w="170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3"/>
              <w:rPr>
                <w:rFonts w:ascii="Arial" w:hAnsi="Arial" w:cs="Arial"/>
                <w:color w:val="111111"/>
              </w:rPr>
            </w:pPr>
            <w:r>
              <w:rPr>
                <w:rStyle w:val="s31"/>
                <w:rFonts w:ascii="Arial" w:hAnsi="Arial" w:cs="Arial"/>
              </w:rPr>
              <w:t>两边临路</w:t>
            </w:r>
          </w:p>
        </w:tc>
        <w:tc>
          <w:tcPr>
            <w:tcW w:w="170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3"/>
              <w:rPr>
                <w:rFonts w:ascii="Arial" w:hAnsi="Arial" w:cs="Arial"/>
                <w:color w:val="111111"/>
              </w:rPr>
            </w:pPr>
            <w:proofErr w:type="gramStart"/>
            <w:r>
              <w:rPr>
                <w:rStyle w:val="s31"/>
                <w:rFonts w:ascii="Arial" w:hAnsi="Arial" w:cs="Arial"/>
              </w:rPr>
              <w:t>三边临路</w:t>
            </w:r>
            <w:proofErr w:type="gramEnd"/>
          </w:p>
        </w:tc>
        <w:tc>
          <w:tcPr>
            <w:tcW w:w="170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3"/>
              <w:rPr>
                <w:rFonts w:ascii="Arial" w:hAnsi="Arial" w:cs="Arial"/>
                <w:color w:val="111111"/>
              </w:rPr>
            </w:pPr>
            <w:r>
              <w:rPr>
                <w:rStyle w:val="s31"/>
                <w:rFonts w:ascii="Arial" w:hAnsi="Arial" w:cs="Arial"/>
              </w:rPr>
              <w:t>周边临路</w:t>
            </w:r>
          </w:p>
        </w:tc>
      </w:tr>
      <w:tr w:rsidR="00D5746B" w:rsidTr="00A1279F">
        <w:trPr>
          <w:tblCellSpacing w:w="15" w:type="dxa"/>
          <w:jc w:val="center"/>
        </w:trPr>
        <w:tc>
          <w:tcPr>
            <w:tcW w:w="170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3"/>
              <w:rPr>
                <w:rFonts w:ascii="Arial" w:hAnsi="Arial" w:cs="Arial"/>
                <w:color w:val="111111"/>
              </w:rPr>
            </w:pPr>
            <w:r>
              <w:rPr>
                <w:rStyle w:val="s31"/>
                <w:rFonts w:ascii="Arial" w:hAnsi="Arial" w:cs="Arial"/>
              </w:rPr>
              <w:t>修正系数</w:t>
            </w:r>
          </w:p>
        </w:tc>
        <w:tc>
          <w:tcPr>
            <w:tcW w:w="170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3"/>
              <w:rPr>
                <w:rFonts w:ascii="Arial" w:hAnsi="Arial" w:cs="Arial"/>
                <w:color w:val="111111"/>
              </w:rPr>
            </w:pPr>
            <w:r>
              <w:rPr>
                <w:rStyle w:val="s31"/>
                <w:rFonts w:ascii="Arial" w:hAnsi="Arial" w:cs="Arial"/>
              </w:rPr>
              <w:t>0</w:t>
            </w:r>
          </w:p>
        </w:tc>
        <w:tc>
          <w:tcPr>
            <w:tcW w:w="170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3"/>
              <w:rPr>
                <w:rFonts w:ascii="Arial" w:hAnsi="Arial" w:cs="Arial"/>
                <w:color w:val="111111"/>
              </w:rPr>
            </w:pPr>
            <w:r>
              <w:rPr>
                <w:rStyle w:val="s31"/>
                <w:rFonts w:ascii="Arial" w:hAnsi="Arial" w:cs="Arial"/>
              </w:rPr>
              <w:t>+01</w:t>
            </w:r>
          </w:p>
        </w:tc>
        <w:tc>
          <w:tcPr>
            <w:tcW w:w="170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3"/>
              <w:rPr>
                <w:rFonts w:ascii="Arial" w:hAnsi="Arial" w:cs="Arial"/>
                <w:color w:val="111111"/>
              </w:rPr>
            </w:pPr>
            <w:r>
              <w:rPr>
                <w:rStyle w:val="s31"/>
                <w:rFonts w:ascii="Arial" w:hAnsi="Arial" w:cs="Arial"/>
              </w:rPr>
              <w:t>+015</w:t>
            </w:r>
          </w:p>
        </w:tc>
        <w:tc>
          <w:tcPr>
            <w:tcW w:w="170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D5746B" w:rsidRDefault="00D5746B" w:rsidP="00A1279F">
            <w:pPr>
              <w:pStyle w:val="p3"/>
              <w:rPr>
                <w:rFonts w:ascii="Arial" w:hAnsi="Arial" w:cs="Arial"/>
                <w:color w:val="111111"/>
              </w:rPr>
            </w:pPr>
            <w:r>
              <w:rPr>
                <w:rStyle w:val="s31"/>
                <w:rFonts w:ascii="Arial" w:hAnsi="Arial" w:cs="Arial"/>
              </w:rPr>
              <w:t>+02</w:t>
            </w:r>
          </w:p>
        </w:tc>
      </w:tr>
    </w:tbl>
    <w:p w:rsidR="00D5746B" w:rsidRDefault="00D5746B" w:rsidP="00D5746B">
      <w:pPr>
        <w:pStyle w:val="p4"/>
        <w:rPr>
          <w:rFonts w:ascii="Arial" w:hAnsi="Arial" w:cs="Arial"/>
          <w:color w:val="111111"/>
          <w:lang/>
        </w:rPr>
      </w:pPr>
      <w:r>
        <w:rPr>
          <w:rStyle w:val="s31"/>
          <w:rFonts w:ascii="Arial" w:hAnsi="Arial" w:cs="Arial"/>
          <w:lang/>
        </w:rPr>
        <w:t>其中临路是指用地直接相邻，或用地与道路间的绿带宽度不超过</w:t>
      </w:r>
      <w:r>
        <w:rPr>
          <w:rStyle w:val="s31"/>
          <w:rFonts w:ascii="Arial" w:hAnsi="Arial" w:cs="Arial"/>
          <w:lang/>
        </w:rPr>
        <w:t>20</w:t>
      </w:r>
      <w:r>
        <w:rPr>
          <w:rStyle w:val="s31"/>
          <w:rFonts w:ascii="Arial" w:hAnsi="Arial" w:cs="Arial"/>
          <w:lang/>
        </w:rPr>
        <w:t>米</w:t>
      </w:r>
      <w:r>
        <w:rPr>
          <w:rStyle w:val="s31"/>
          <w:rFonts w:ascii="Arial" w:hAnsi="Arial" w:cs="Arial"/>
          <w:lang/>
        </w:rPr>
        <w:t>,</w:t>
      </w:r>
      <w:proofErr w:type="gramStart"/>
      <w:r>
        <w:rPr>
          <w:rStyle w:val="s31"/>
          <w:rFonts w:ascii="Arial" w:hAnsi="Arial" w:cs="Arial"/>
          <w:lang/>
        </w:rPr>
        <w:t>且临路</w:t>
      </w:r>
      <w:proofErr w:type="gramEnd"/>
      <w:r>
        <w:rPr>
          <w:rStyle w:val="s31"/>
          <w:rFonts w:ascii="Arial" w:hAnsi="Arial" w:cs="Arial"/>
          <w:lang/>
        </w:rPr>
        <w:t>的用地宽度不少于</w:t>
      </w:r>
      <w:r>
        <w:rPr>
          <w:rStyle w:val="s31"/>
          <w:rFonts w:ascii="Arial" w:hAnsi="Arial" w:cs="Arial"/>
          <w:lang/>
        </w:rPr>
        <w:t>20</w:t>
      </w:r>
      <w:r>
        <w:rPr>
          <w:rStyle w:val="s31"/>
          <w:rFonts w:ascii="Arial" w:hAnsi="Arial" w:cs="Arial"/>
          <w:lang/>
        </w:rPr>
        <w:t>米。</w:t>
      </w:r>
      <w:r>
        <w:rPr>
          <w:rStyle w:val="s31"/>
          <w:rFonts w:ascii="Arial" w:hAnsi="Arial" w:cs="Arial"/>
          <w:lang/>
        </w:rPr>
        <w:t>“</w:t>
      </w:r>
      <w:r>
        <w:rPr>
          <w:rStyle w:val="s31"/>
          <w:rFonts w:ascii="Arial" w:hAnsi="Arial" w:cs="Arial"/>
          <w:lang/>
        </w:rPr>
        <w:t>三边临路</w:t>
      </w:r>
      <w:r>
        <w:rPr>
          <w:rStyle w:val="s31"/>
          <w:rFonts w:ascii="Arial" w:hAnsi="Arial" w:cs="Arial"/>
          <w:lang/>
        </w:rPr>
        <w:t>”</w:t>
      </w:r>
      <w:r>
        <w:rPr>
          <w:rStyle w:val="s31"/>
          <w:rFonts w:ascii="Arial" w:hAnsi="Arial" w:cs="Arial"/>
          <w:lang/>
        </w:rPr>
        <w:t>除满足有</w:t>
      </w:r>
      <w:proofErr w:type="gramStart"/>
      <w:r>
        <w:rPr>
          <w:rStyle w:val="s31"/>
          <w:rFonts w:ascii="Arial" w:hAnsi="Arial" w:cs="Arial"/>
          <w:lang/>
        </w:rPr>
        <w:t>三条边临路</w:t>
      </w:r>
      <w:proofErr w:type="gramEnd"/>
      <w:r>
        <w:rPr>
          <w:rStyle w:val="s31"/>
          <w:rFonts w:ascii="Arial" w:hAnsi="Arial" w:cs="Arial"/>
          <w:lang/>
        </w:rPr>
        <w:t>外，还应满足</w:t>
      </w:r>
      <w:r>
        <w:rPr>
          <w:rStyle w:val="s31"/>
          <w:rFonts w:ascii="Arial" w:hAnsi="Arial" w:cs="Arial"/>
          <w:lang/>
        </w:rPr>
        <w:t>:</w:t>
      </w:r>
      <w:r>
        <w:rPr>
          <w:rStyle w:val="s31"/>
          <w:rFonts w:ascii="Arial" w:hAnsi="Arial" w:cs="Arial"/>
          <w:lang/>
        </w:rPr>
        <w:t>地块临路的边长之和</w:t>
      </w:r>
      <w:r>
        <w:rPr>
          <w:rStyle w:val="s31"/>
          <w:rFonts w:ascii="Arial" w:hAnsi="Arial" w:cs="Arial"/>
          <w:lang/>
        </w:rPr>
        <w:t>/</w:t>
      </w:r>
      <w:r>
        <w:rPr>
          <w:rStyle w:val="s31"/>
          <w:rFonts w:ascii="Arial" w:hAnsi="Arial" w:cs="Arial"/>
          <w:lang/>
        </w:rPr>
        <w:t>地块周长</w:t>
      </w:r>
      <w:r>
        <w:rPr>
          <w:rStyle w:val="s31"/>
          <w:rFonts w:ascii="Arial" w:hAnsi="Arial" w:cs="Arial"/>
          <w:lang/>
        </w:rPr>
        <w:t>≥50%</w:t>
      </w:r>
      <w:r>
        <w:rPr>
          <w:rStyle w:val="s31"/>
          <w:rFonts w:ascii="Arial" w:hAnsi="Arial" w:cs="Arial"/>
          <w:lang/>
        </w:rPr>
        <w:t>；</w:t>
      </w:r>
      <w:r>
        <w:rPr>
          <w:rStyle w:val="s31"/>
          <w:rFonts w:ascii="Arial" w:hAnsi="Arial" w:cs="Arial"/>
          <w:lang/>
        </w:rPr>
        <w:t>“</w:t>
      </w:r>
      <w:r>
        <w:rPr>
          <w:rStyle w:val="s31"/>
          <w:rFonts w:ascii="Arial" w:hAnsi="Arial" w:cs="Arial"/>
          <w:lang/>
        </w:rPr>
        <w:t>周边临路</w:t>
      </w:r>
      <w:r>
        <w:rPr>
          <w:rStyle w:val="s31"/>
          <w:rFonts w:ascii="Arial" w:hAnsi="Arial" w:cs="Arial"/>
          <w:lang/>
        </w:rPr>
        <w:t>”</w:t>
      </w:r>
      <w:r>
        <w:rPr>
          <w:rStyle w:val="s31"/>
          <w:rFonts w:ascii="Arial" w:hAnsi="Arial" w:cs="Arial"/>
          <w:lang/>
        </w:rPr>
        <w:t>除</w:t>
      </w:r>
      <w:r>
        <w:rPr>
          <w:rStyle w:val="s31"/>
          <w:rFonts w:ascii="Arial" w:hAnsi="Arial" w:cs="Arial"/>
          <w:lang/>
        </w:rPr>
        <w:lastRenderedPageBreak/>
        <w:t>满足有四条边或</w:t>
      </w:r>
      <w:proofErr w:type="gramStart"/>
      <w:r>
        <w:rPr>
          <w:rStyle w:val="s31"/>
          <w:rFonts w:ascii="Arial" w:hAnsi="Arial" w:cs="Arial"/>
          <w:lang/>
        </w:rPr>
        <w:t>所有边临</w:t>
      </w:r>
      <w:proofErr w:type="gramEnd"/>
      <w:r>
        <w:rPr>
          <w:rStyle w:val="s31"/>
          <w:rFonts w:ascii="Arial" w:hAnsi="Arial" w:cs="Arial"/>
          <w:lang/>
        </w:rPr>
        <w:t>路外，还应满足</w:t>
      </w:r>
      <w:r>
        <w:rPr>
          <w:rStyle w:val="s31"/>
          <w:rFonts w:ascii="Arial" w:hAnsi="Arial" w:cs="Arial"/>
          <w:lang/>
        </w:rPr>
        <w:t>:</w:t>
      </w:r>
      <w:r>
        <w:rPr>
          <w:rStyle w:val="s31"/>
          <w:rFonts w:ascii="Arial" w:hAnsi="Arial" w:cs="Arial"/>
          <w:lang/>
        </w:rPr>
        <w:t>地块临路的边长之和</w:t>
      </w:r>
      <w:r>
        <w:rPr>
          <w:rStyle w:val="s31"/>
          <w:rFonts w:ascii="Arial" w:hAnsi="Arial" w:cs="Arial"/>
          <w:lang/>
        </w:rPr>
        <w:t>/</w:t>
      </w:r>
      <w:r>
        <w:rPr>
          <w:rStyle w:val="s31"/>
          <w:rFonts w:ascii="Arial" w:hAnsi="Arial" w:cs="Arial"/>
          <w:lang/>
        </w:rPr>
        <w:t>地块周长</w:t>
      </w:r>
      <w:r>
        <w:rPr>
          <w:rStyle w:val="s31"/>
          <w:rFonts w:ascii="Arial" w:hAnsi="Arial" w:cs="Arial"/>
          <w:lang/>
        </w:rPr>
        <w:t>≥75%</w:t>
      </w:r>
      <w:r>
        <w:rPr>
          <w:rStyle w:val="s31"/>
          <w:rFonts w:ascii="Arial" w:hAnsi="Arial" w:cs="Arial"/>
          <w:lang/>
        </w:rPr>
        <w:t>。</w:t>
      </w:r>
    </w:p>
    <w:p w:rsidR="00D5746B" w:rsidRDefault="00D5746B" w:rsidP="00D5746B">
      <w:pPr>
        <w:pStyle w:val="p4"/>
        <w:rPr>
          <w:rFonts w:ascii="Arial" w:hAnsi="Arial" w:cs="Arial"/>
          <w:color w:val="111111"/>
          <w:lang/>
        </w:rPr>
      </w:pPr>
      <w:r>
        <w:rPr>
          <w:rStyle w:val="s31"/>
          <w:rFonts w:ascii="Arial" w:hAnsi="Arial" w:cs="Arial"/>
          <w:lang/>
        </w:rPr>
        <w:t>(</w:t>
      </w:r>
      <w:r>
        <w:rPr>
          <w:rStyle w:val="s31"/>
          <w:rFonts w:ascii="Arial" w:hAnsi="Arial" w:cs="Arial"/>
          <w:lang/>
        </w:rPr>
        <w:t>四</w:t>
      </w:r>
      <w:r>
        <w:rPr>
          <w:rStyle w:val="s31"/>
          <w:rFonts w:ascii="Arial" w:hAnsi="Arial" w:cs="Arial"/>
          <w:lang/>
        </w:rPr>
        <w:t>)</w:t>
      </w:r>
      <w:r>
        <w:rPr>
          <w:rStyle w:val="s31"/>
          <w:rFonts w:ascii="Arial" w:hAnsi="Arial" w:cs="Arial"/>
          <w:lang/>
        </w:rPr>
        <w:t>地铁站点修正系数</w:t>
      </w:r>
    </w:p>
    <w:p w:rsidR="00D5746B" w:rsidRDefault="00D5746B" w:rsidP="00D5746B">
      <w:pPr>
        <w:pStyle w:val="p4"/>
        <w:rPr>
          <w:rFonts w:ascii="Arial" w:hAnsi="Arial" w:cs="Arial"/>
          <w:color w:val="111111"/>
          <w:lang/>
        </w:rPr>
      </w:pPr>
      <w:r>
        <w:rPr>
          <w:rStyle w:val="s31"/>
          <w:rFonts w:ascii="Arial" w:hAnsi="Arial" w:cs="Arial"/>
          <w:lang/>
        </w:rPr>
        <w:t>居住用地、商业服务业用地、新型产业用地计算地块基础建筑面积时，应根据地块周边地铁站点覆盖情况进行容积率修正。位于</w:t>
      </w:r>
      <w:r>
        <w:rPr>
          <w:rStyle w:val="s31"/>
          <w:rFonts w:ascii="Arial" w:hAnsi="Arial" w:cs="Arial"/>
          <w:lang/>
        </w:rPr>
        <w:t>TOD</w:t>
      </w:r>
      <w:r>
        <w:rPr>
          <w:rStyle w:val="s31"/>
          <w:rFonts w:ascii="Arial" w:hAnsi="Arial" w:cs="Arial"/>
          <w:lang/>
        </w:rPr>
        <w:t>规划控制范围内的用地适用轨道站点修</w:t>
      </w:r>
      <w:r>
        <w:rPr>
          <w:rStyle w:val="s31"/>
          <w:rFonts w:ascii="Arial" w:hAnsi="Arial" w:cs="Arial"/>
          <w:lang/>
        </w:rPr>
        <w:t>:</w:t>
      </w:r>
      <w:r>
        <w:rPr>
          <w:rStyle w:val="s31"/>
          <w:rFonts w:ascii="Arial" w:hAnsi="Arial" w:cs="Arial"/>
          <w:lang/>
        </w:rPr>
        <w:t>正系数，系数取值如下</w:t>
      </w:r>
      <w:r>
        <w:rPr>
          <w:rStyle w:val="s31"/>
          <w:rFonts w:ascii="Arial" w:hAnsi="Arial" w:cs="Arial"/>
          <w:lang/>
        </w:rPr>
        <w:t>:</w:t>
      </w:r>
    </w:p>
    <w:p w:rsidR="00D5746B" w:rsidRDefault="00D5746B" w:rsidP="00D5746B">
      <w:pPr>
        <w:pStyle w:val="p4"/>
        <w:rPr>
          <w:rFonts w:ascii="Arial" w:hAnsi="Arial" w:cs="Arial"/>
          <w:color w:val="111111"/>
          <w:lang/>
        </w:rPr>
      </w:pPr>
      <w:r>
        <w:rPr>
          <w:rStyle w:val="s31"/>
          <w:rFonts w:ascii="Arial" w:hAnsi="Arial" w:cs="Arial"/>
          <w:lang/>
        </w:rPr>
        <w:t>属于轨道枢纽站点</w:t>
      </w:r>
      <w:r>
        <w:rPr>
          <w:rStyle w:val="s31"/>
          <w:rFonts w:ascii="Arial" w:hAnsi="Arial" w:cs="Arial"/>
          <w:lang/>
        </w:rPr>
        <w:t>(</w:t>
      </w:r>
      <w:r>
        <w:rPr>
          <w:rStyle w:val="s31"/>
          <w:rFonts w:ascii="Arial" w:hAnsi="Arial" w:cs="Arial"/>
          <w:lang/>
        </w:rPr>
        <w:t>两条或多条线路换乘站</w:t>
      </w:r>
      <w:r>
        <w:rPr>
          <w:rStyle w:val="s31"/>
          <w:rFonts w:ascii="Arial" w:hAnsi="Arial" w:cs="Arial"/>
          <w:lang/>
        </w:rPr>
        <w:t>)</w:t>
      </w:r>
      <w:r>
        <w:rPr>
          <w:rStyle w:val="s31"/>
          <w:rFonts w:ascii="Arial" w:hAnsi="Arial" w:cs="Arial"/>
          <w:lang/>
        </w:rPr>
        <w:t>的修正系数为</w:t>
      </w:r>
      <w:r>
        <w:rPr>
          <w:rStyle w:val="s31"/>
          <w:rFonts w:ascii="Arial" w:hAnsi="Arial" w:cs="Arial"/>
          <w:lang/>
        </w:rPr>
        <w:t>05</w:t>
      </w:r>
      <w:r>
        <w:rPr>
          <w:rStyle w:val="s31"/>
          <w:rFonts w:ascii="Arial" w:hAnsi="Arial" w:cs="Arial"/>
          <w:lang/>
        </w:rPr>
        <w:t>；属于一般站点的修正系数为</w:t>
      </w:r>
      <w:r>
        <w:rPr>
          <w:rStyle w:val="s31"/>
          <w:rFonts w:ascii="Arial" w:hAnsi="Arial" w:cs="Arial"/>
          <w:lang/>
        </w:rPr>
        <w:t>0.3</w:t>
      </w:r>
      <w:r>
        <w:rPr>
          <w:rStyle w:val="s31"/>
          <w:rFonts w:ascii="Arial" w:hAnsi="Arial" w:cs="Arial"/>
          <w:lang/>
        </w:rPr>
        <w:t>。</w:t>
      </w:r>
    </w:p>
    <w:p w:rsidR="00D5746B" w:rsidRDefault="00D5746B" w:rsidP="00D5746B">
      <w:pPr>
        <w:pStyle w:val="p4"/>
        <w:rPr>
          <w:rFonts w:ascii="Arial" w:hAnsi="Arial" w:cs="Arial"/>
          <w:color w:val="111111"/>
          <w:lang/>
        </w:rPr>
      </w:pPr>
      <w:r>
        <w:rPr>
          <w:rStyle w:val="s31"/>
          <w:rFonts w:ascii="Arial" w:hAnsi="Arial" w:cs="Arial"/>
          <w:lang/>
        </w:rPr>
        <w:t>同一个地块只有部分用地纳入</w:t>
      </w:r>
      <w:r>
        <w:rPr>
          <w:rStyle w:val="s31"/>
          <w:rFonts w:ascii="Arial" w:hAnsi="Arial" w:cs="Arial"/>
          <w:lang/>
        </w:rPr>
        <w:t>TOD</w:t>
      </w:r>
      <w:r>
        <w:rPr>
          <w:rStyle w:val="s31"/>
          <w:rFonts w:ascii="Arial" w:hAnsi="Arial" w:cs="Arial"/>
          <w:lang/>
        </w:rPr>
        <w:t>规划控制范围的，该地块地铁站点修正系数</w:t>
      </w:r>
      <w:r>
        <w:rPr>
          <w:rStyle w:val="s31"/>
          <w:rFonts w:ascii="Arial" w:hAnsi="Arial" w:cs="Arial"/>
          <w:lang/>
        </w:rPr>
        <w:t>=0.3(</w:t>
      </w:r>
      <w:r>
        <w:rPr>
          <w:rStyle w:val="s31"/>
          <w:rFonts w:ascii="Arial" w:hAnsi="Arial" w:cs="Arial"/>
          <w:lang/>
        </w:rPr>
        <w:t>或</w:t>
      </w:r>
      <w:r>
        <w:rPr>
          <w:rStyle w:val="s31"/>
          <w:rFonts w:ascii="Arial" w:hAnsi="Arial" w:cs="Arial"/>
          <w:lang/>
        </w:rPr>
        <w:t>0.5)x(</w:t>
      </w:r>
      <w:r>
        <w:rPr>
          <w:rStyle w:val="s31"/>
          <w:rFonts w:ascii="Arial" w:hAnsi="Arial" w:cs="Arial"/>
          <w:lang/>
        </w:rPr>
        <w:t>纳入</w:t>
      </w:r>
      <w:r>
        <w:rPr>
          <w:rStyle w:val="s31"/>
          <w:rFonts w:ascii="Arial" w:hAnsi="Arial" w:cs="Arial"/>
          <w:lang/>
        </w:rPr>
        <w:t>TOD</w:t>
      </w:r>
      <w:r>
        <w:rPr>
          <w:rStyle w:val="s31"/>
          <w:rFonts w:ascii="Arial" w:hAnsi="Arial" w:cs="Arial"/>
          <w:lang/>
        </w:rPr>
        <w:t>规划控制范围的用地</w:t>
      </w:r>
      <w:r>
        <w:rPr>
          <w:rStyle w:val="s31"/>
          <w:rFonts w:ascii="Arial" w:hAnsi="Arial" w:cs="Arial"/>
          <w:lang/>
        </w:rPr>
        <w:t>/</w:t>
      </w:r>
      <w:r>
        <w:rPr>
          <w:rStyle w:val="s31"/>
          <w:rFonts w:ascii="Arial" w:hAnsi="Arial" w:cs="Arial"/>
          <w:lang/>
        </w:rPr>
        <w:t>地块用地面积</w:t>
      </w:r>
      <w:r>
        <w:rPr>
          <w:rStyle w:val="s31"/>
          <w:rFonts w:ascii="Arial" w:hAnsi="Arial" w:cs="Arial"/>
          <w:lang/>
        </w:rPr>
        <w:t>)</w:t>
      </w:r>
      <w:r>
        <w:rPr>
          <w:rStyle w:val="s31"/>
          <w:rFonts w:ascii="Arial" w:hAnsi="Arial" w:cs="Arial"/>
          <w:lang/>
        </w:rPr>
        <w:t>。</w:t>
      </w:r>
    </w:p>
    <w:p w:rsidR="00D5746B" w:rsidRDefault="00D5746B" w:rsidP="00D5746B">
      <w:pPr>
        <w:pStyle w:val="p4"/>
        <w:rPr>
          <w:rFonts w:ascii="Arial" w:hAnsi="Arial" w:cs="Arial"/>
          <w:color w:val="111111"/>
          <w:lang/>
        </w:rPr>
      </w:pPr>
      <w:r>
        <w:rPr>
          <w:rStyle w:val="s31"/>
          <w:rFonts w:ascii="Arial" w:hAnsi="Arial" w:cs="Arial"/>
          <w:lang/>
        </w:rPr>
        <w:t>(</w:t>
      </w:r>
      <w:r>
        <w:rPr>
          <w:rStyle w:val="s31"/>
          <w:rFonts w:ascii="Arial" w:hAnsi="Arial" w:cs="Arial"/>
          <w:lang/>
        </w:rPr>
        <w:t>五</w:t>
      </w:r>
      <w:r>
        <w:rPr>
          <w:rStyle w:val="s31"/>
          <w:rFonts w:ascii="Arial" w:hAnsi="Arial" w:cs="Arial"/>
          <w:lang/>
        </w:rPr>
        <w:t>)</w:t>
      </w:r>
      <w:r>
        <w:rPr>
          <w:rStyle w:val="s31"/>
          <w:rFonts w:ascii="Arial" w:hAnsi="Arial" w:cs="Arial"/>
          <w:lang/>
        </w:rPr>
        <w:t>特别政策修正系数</w:t>
      </w:r>
    </w:p>
    <w:p w:rsidR="00D5746B" w:rsidRDefault="00D5746B" w:rsidP="00D5746B">
      <w:pPr>
        <w:pStyle w:val="p4"/>
        <w:rPr>
          <w:rFonts w:ascii="Arial" w:hAnsi="Arial" w:cs="Arial"/>
          <w:color w:val="111111"/>
          <w:lang/>
        </w:rPr>
      </w:pPr>
      <w:r>
        <w:rPr>
          <w:rStyle w:val="s31"/>
          <w:rFonts w:ascii="Arial" w:hAnsi="Arial" w:cs="Arial"/>
          <w:lang/>
        </w:rPr>
        <w:t>广深科技创新走廊省、市创新节点的产业类单元</w:t>
      </w:r>
      <w:r>
        <w:rPr>
          <w:rStyle w:val="s31"/>
          <w:rFonts w:ascii="Arial" w:hAnsi="Arial" w:cs="Arial"/>
          <w:lang/>
        </w:rPr>
        <w:t>(</w:t>
      </w:r>
      <w:r>
        <w:rPr>
          <w:rStyle w:val="s31"/>
          <w:rFonts w:ascii="Arial" w:hAnsi="Arial" w:cs="Arial"/>
          <w:lang/>
        </w:rPr>
        <w:t>项目</w:t>
      </w:r>
      <w:r>
        <w:rPr>
          <w:rStyle w:val="s31"/>
          <w:rFonts w:ascii="Arial" w:hAnsi="Arial" w:cs="Arial"/>
          <w:lang/>
        </w:rPr>
        <w:t>)</w:t>
      </w:r>
      <w:r>
        <w:rPr>
          <w:rStyle w:val="s31"/>
          <w:rFonts w:ascii="Arial" w:hAnsi="Arial" w:cs="Arial"/>
          <w:lang/>
        </w:rPr>
        <w:t>及东莞段空间规划确定的城市更新产业类单元</w:t>
      </w:r>
      <w:r>
        <w:rPr>
          <w:rStyle w:val="s31"/>
          <w:rFonts w:ascii="Arial" w:hAnsi="Arial" w:cs="Arial"/>
          <w:lang/>
        </w:rPr>
        <w:t>(</w:t>
      </w:r>
      <w:r>
        <w:rPr>
          <w:rStyle w:val="s31"/>
          <w:rFonts w:ascii="Arial" w:hAnsi="Arial" w:cs="Arial"/>
          <w:lang/>
        </w:rPr>
        <w:t>项目</w:t>
      </w:r>
      <w:r>
        <w:rPr>
          <w:rStyle w:val="s31"/>
          <w:rFonts w:ascii="Arial" w:hAnsi="Arial" w:cs="Arial"/>
          <w:lang/>
        </w:rPr>
        <w:t>)</w:t>
      </w:r>
      <w:r>
        <w:rPr>
          <w:rStyle w:val="s31"/>
          <w:rFonts w:ascii="Arial" w:hAnsi="Arial" w:cs="Arial"/>
          <w:lang/>
        </w:rPr>
        <w:t>适用特别政策系数，修正系数为</w:t>
      </w:r>
      <w:r>
        <w:rPr>
          <w:rStyle w:val="s31"/>
          <w:rFonts w:ascii="Arial" w:hAnsi="Arial" w:cs="Arial"/>
          <w:lang/>
        </w:rPr>
        <w:t>0.1</w:t>
      </w:r>
      <w:r>
        <w:rPr>
          <w:rStyle w:val="s31"/>
          <w:rFonts w:ascii="Arial" w:hAnsi="Arial" w:cs="Arial"/>
          <w:lang/>
        </w:rPr>
        <w:t>，其他特别政策系数由市自然资源局另行制定。特别政策修正系数不能叠加，如一个单元适用多个特别政策修正系数的，取其中的最大值进行修正。</w:t>
      </w:r>
    </w:p>
    <w:p w:rsidR="00D5746B" w:rsidRDefault="00D5746B" w:rsidP="00D5746B">
      <w:pPr>
        <w:pStyle w:val="p4"/>
        <w:rPr>
          <w:rFonts w:ascii="Arial" w:hAnsi="Arial" w:cs="Arial"/>
          <w:color w:val="111111"/>
          <w:lang/>
        </w:rPr>
      </w:pPr>
      <w:r>
        <w:rPr>
          <w:rStyle w:val="s31"/>
          <w:rFonts w:ascii="Arial" w:hAnsi="Arial" w:cs="Arial"/>
          <w:lang/>
        </w:rPr>
        <w:t>(</w:t>
      </w:r>
      <w:r>
        <w:rPr>
          <w:rStyle w:val="s31"/>
          <w:rFonts w:ascii="Arial" w:hAnsi="Arial" w:cs="Arial"/>
          <w:lang/>
        </w:rPr>
        <w:t>六</w:t>
      </w:r>
      <w:r>
        <w:rPr>
          <w:rStyle w:val="s31"/>
          <w:rFonts w:ascii="Arial" w:hAnsi="Arial" w:cs="Arial"/>
          <w:lang/>
        </w:rPr>
        <w:t>)</w:t>
      </w:r>
      <w:r>
        <w:rPr>
          <w:rStyle w:val="s31"/>
          <w:rFonts w:ascii="Arial" w:hAnsi="Arial" w:cs="Arial"/>
          <w:lang/>
        </w:rPr>
        <w:t>修正系数的叠加</w:t>
      </w:r>
    </w:p>
    <w:p w:rsidR="00D5746B" w:rsidRDefault="00D5746B" w:rsidP="00D5746B">
      <w:pPr>
        <w:pStyle w:val="p4"/>
        <w:rPr>
          <w:rFonts w:ascii="Arial" w:hAnsi="Arial" w:cs="Arial"/>
          <w:color w:val="111111"/>
          <w:lang/>
        </w:rPr>
      </w:pPr>
      <w:r>
        <w:rPr>
          <w:rStyle w:val="s31"/>
          <w:rFonts w:ascii="Arial" w:hAnsi="Arial" w:cs="Arial"/>
          <w:lang/>
        </w:rPr>
        <w:lastRenderedPageBreak/>
        <w:t>周边道路修正系数和地铁站点修正系数同时存在时，商业服务业用地、新型产业用地地块可进行叠加修正，居住用地地块仅选取其中的最大值进行修正。</w:t>
      </w:r>
    </w:p>
    <w:p w:rsidR="00D5746B" w:rsidRDefault="00D5746B" w:rsidP="00D5746B">
      <w:pPr>
        <w:pStyle w:val="p4"/>
        <w:rPr>
          <w:rFonts w:ascii="Arial" w:hAnsi="Arial" w:cs="Arial"/>
          <w:color w:val="111111"/>
          <w:lang/>
        </w:rPr>
      </w:pPr>
      <w:r>
        <w:rPr>
          <w:rStyle w:val="s21"/>
          <w:rFonts w:ascii="Arial" w:hAnsi="Arial" w:cs="Arial"/>
          <w:lang/>
        </w:rPr>
        <w:t>五、奖励建筑面积</w:t>
      </w:r>
    </w:p>
    <w:p w:rsidR="00D5746B" w:rsidRDefault="00D5746B" w:rsidP="00D5746B">
      <w:pPr>
        <w:pStyle w:val="p4"/>
        <w:rPr>
          <w:rFonts w:ascii="Arial" w:hAnsi="Arial" w:cs="Arial"/>
          <w:color w:val="111111"/>
          <w:lang/>
        </w:rPr>
      </w:pPr>
      <w:r>
        <w:rPr>
          <w:rStyle w:val="s31"/>
          <w:rFonts w:ascii="Arial" w:hAnsi="Arial" w:cs="Arial"/>
          <w:lang/>
        </w:rPr>
        <w:t>更新单元在拆除范围内</w:t>
      </w:r>
      <w:r>
        <w:rPr>
          <w:rStyle w:val="s31"/>
          <w:rFonts w:ascii="Arial" w:hAnsi="Arial" w:cs="Arial"/>
          <w:lang/>
        </w:rPr>
        <w:t>(</w:t>
      </w:r>
      <w:r>
        <w:rPr>
          <w:rStyle w:val="s31"/>
          <w:rFonts w:ascii="Arial" w:hAnsi="Arial" w:cs="Arial"/>
          <w:lang/>
        </w:rPr>
        <w:t>不含三地及超标三地</w:t>
      </w:r>
      <w:r>
        <w:rPr>
          <w:rStyle w:val="s31"/>
          <w:rFonts w:ascii="Arial" w:hAnsi="Arial" w:cs="Arial"/>
          <w:lang/>
        </w:rPr>
        <w:t>)</w:t>
      </w:r>
      <w:r>
        <w:rPr>
          <w:rStyle w:val="s31"/>
          <w:rFonts w:ascii="Arial" w:hAnsi="Arial" w:cs="Arial"/>
          <w:lang/>
        </w:rPr>
        <w:t>，向政府无偿移交指定类型公共设施或其他用地的，按以下标准进行建筑规模奖励</w:t>
      </w:r>
      <w:r>
        <w:rPr>
          <w:rStyle w:val="s31"/>
          <w:rFonts w:ascii="Arial" w:hAnsi="Arial" w:cs="Arial"/>
          <w:lang/>
        </w:rPr>
        <w:t>:</w:t>
      </w:r>
    </w:p>
    <w:p w:rsidR="00D5746B" w:rsidRDefault="00D5746B" w:rsidP="00D5746B">
      <w:pPr>
        <w:pStyle w:val="p4"/>
        <w:rPr>
          <w:rFonts w:ascii="Arial" w:hAnsi="Arial" w:cs="Arial"/>
          <w:color w:val="111111"/>
          <w:lang/>
        </w:rPr>
      </w:pPr>
      <w:r>
        <w:rPr>
          <w:rStyle w:val="s31"/>
          <w:rFonts w:ascii="Arial" w:hAnsi="Arial" w:cs="Arial"/>
          <w:lang/>
        </w:rPr>
        <w:t>(</w:t>
      </w:r>
      <w:proofErr w:type="gramStart"/>
      <w:r>
        <w:rPr>
          <w:rStyle w:val="s31"/>
          <w:rFonts w:ascii="Arial" w:hAnsi="Arial" w:cs="Arial"/>
          <w:lang/>
        </w:rPr>
        <w:t>一</w:t>
      </w:r>
      <w:proofErr w:type="gramEnd"/>
      <w:r>
        <w:rPr>
          <w:rStyle w:val="s31"/>
          <w:rFonts w:ascii="Arial" w:hAnsi="Arial" w:cs="Arial"/>
          <w:lang/>
        </w:rPr>
        <w:t>)</w:t>
      </w:r>
      <w:r>
        <w:rPr>
          <w:rStyle w:val="s31"/>
          <w:rFonts w:ascii="Arial" w:hAnsi="Arial" w:cs="Arial"/>
          <w:lang/>
        </w:rPr>
        <w:t>无偿移交高中、初中、小学、大型的文体设施</w:t>
      </w:r>
      <w:r>
        <w:rPr>
          <w:rStyle w:val="s31"/>
          <w:rFonts w:ascii="Arial" w:hAnsi="Arial" w:cs="Arial"/>
          <w:lang/>
        </w:rPr>
        <w:t>(</w:t>
      </w:r>
      <w:r>
        <w:rPr>
          <w:rStyle w:val="s31"/>
          <w:rFonts w:ascii="Arial" w:hAnsi="Arial" w:cs="Arial"/>
          <w:lang/>
        </w:rPr>
        <w:t>用地规模不少于</w:t>
      </w:r>
      <w:r>
        <w:rPr>
          <w:rStyle w:val="s31"/>
          <w:rFonts w:ascii="Arial" w:hAnsi="Arial" w:cs="Arial"/>
          <w:lang/>
        </w:rPr>
        <w:t>10000</w:t>
      </w:r>
      <w:r>
        <w:rPr>
          <w:rStyle w:val="s31"/>
          <w:rFonts w:ascii="Arial" w:hAnsi="Arial" w:cs="Arial"/>
          <w:lang/>
        </w:rPr>
        <w:t>平方米</w:t>
      </w:r>
      <w:r>
        <w:rPr>
          <w:rStyle w:val="s31"/>
          <w:rFonts w:ascii="Arial" w:hAnsi="Arial" w:cs="Arial"/>
          <w:lang/>
        </w:rPr>
        <w:t>)</w:t>
      </w:r>
      <w:r>
        <w:rPr>
          <w:rStyle w:val="s31"/>
          <w:rFonts w:ascii="Arial" w:hAnsi="Arial" w:cs="Arial"/>
          <w:lang/>
        </w:rPr>
        <w:t>、社区中心</w:t>
      </w:r>
      <w:r>
        <w:rPr>
          <w:rStyle w:val="s31"/>
          <w:rFonts w:ascii="Arial" w:hAnsi="Arial" w:cs="Arial"/>
          <w:lang/>
        </w:rPr>
        <w:t>(</w:t>
      </w:r>
      <w:r>
        <w:rPr>
          <w:rStyle w:val="s31"/>
          <w:rFonts w:ascii="Arial" w:hAnsi="Arial" w:cs="Arial"/>
          <w:lang/>
        </w:rPr>
        <w:t>用地规模不少于</w:t>
      </w:r>
      <w:r>
        <w:rPr>
          <w:rStyle w:val="s31"/>
          <w:rFonts w:ascii="Arial" w:hAnsi="Arial" w:cs="Arial"/>
          <w:lang/>
        </w:rPr>
        <w:t>8000</w:t>
      </w:r>
      <w:r>
        <w:rPr>
          <w:rStyle w:val="s31"/>
          <w:rFonts w:ascii="Arial" w:hAnsi="Arial" w:cs="Arial"/>
          <w:lang/>
        </w:rPr>
        <w:t>平方米，表达为</w:t>
      </w:r>
      <w:r>
        <w:rPr>
          <w:rStyle w:val="s31"/>
          <w:rFonts w:ascii="Arial" w:hAnsi="Arial" w:cs="Arial"/>
          <w:lang/>
        </w:rPr>
        <w:t>C3+C4</w:t>
      </w:r>
      <w:r>
        <w:rPr>
          <w:rStyle w:val="s31"/>
          <w:rFonts w:ascii="Arial" w:hAnsi="Arial" w:cs="Arial"/>
          <w:lang/>
        </w:rPr>
        <w:t>混合用地</w:t>
      </w:r>
      <w:r>
        <w:rPr>
          <w:rStyle w:val="s31"/>
          <w:rFonts w:ascii="Arial" w:hAnsi="Arial" w:cs="Arial"/>
          <w:lang/>
        </w:rPr>
        <w:t>)</w:t>
      </w:r>
      <w:r>
        <w:rPr>
          <w:rStyle w:val="s31"/>
          <w:rFonts w:ascii="Arial" w:hAnsi="Arial" w:cs="Arial"/>
          <w:lang/>
        </w:rPr>
        <w:t>、综合医院、专科医院、养老机构等公共服务设施、给水泵站、</w:t>
      </w:r>
      <w:r>
        <w:rPr>
          <w:rStyle w:val="s31"/>
          <w:rFonts w:ascii="Arial" w:hAnsi="Arial" w:cs="Arial"/>
          <w:lang/>
        </w:rPr>
        <w:t>110kV</w:t>
      </w:r>
      <w:r>
        <w:rPr>
          <w:rStyle w:val="s31"/>
          <w:rFonts w:ascii="Arial" w:hAnsi="Arial" w:cs="Arial"/>
          <w:lang/>
        </w:rPr>
        <w:t>变电站、燃气次高压站、雨水泵站、垃圾转运站、消防站等市政公用设施的，按用地规模的</w:t>
      </w:r>
      <w:r>
        <w:rPr>
          <w:rStyle w:val="s31"/>
          <w:rFonts w:ascii="Arial" w:hAnsi="Arial" w:cs="Arial"/>
          <w:lang/>
        </w:rPr>
        <w:t>3.5</w:t>
      </w:r>
      <w:r>
        <w:rPr>
          <w:rStyle w:val="s31"/>
          <w:rFonts w:ascii="Arial" w:hAnsi="Arial" w:cs="Arial"/>
          <w:lang/>
        </w:rPr>
        <w:t>倍给予建筑规模奖励。</w:t>
      </w:r>
    </w:p>
    <w:p w:rsidR="00D5746B" w:rsidRDefault="00D5746B" w:rsidP="00D5746B">
      <w:pPr>
        <w:pStyle w:val="p4"/>
        <w:rPr>
          <w:rFonts w:ascii="Arial" w:hAnsi="Arial" w:cs="Arial"/>
          <w:color w:val="111111"/>
          <w:lang/>
        </w:rPr>
      </w:pPr>
      <w:r>
        <w:rPr>
          <w:rStyle w:val="s31"/>
          <w:rFonts w:ascii="Arial" w:hAnsi="Arial" w:cs="Arial"/>
          <w:lang/>
        </w:rPr>
        <w:t>(</w:t>
      </w:r>
      <w:r>
        <w:rPr>
          <w:rStyle w:val="s31"/>
          <w:rFonts w:ascii="Arial" w:hAnsi="Arial" w:cs="Arial"/>
          <w:lang/>
        </w:rPr>
        <w:t>二</w:t>
      </w:r>
      <w:r>
        <w:rPr>
          <w:rStyle w:val="s31"/>
          <w:rFonts w:ascii="Arial" w:hAnsi="Arial" w:cs="Arial"/>
          <w:lang/>
        </w:rPr>
        <w:t>)</w:t>
      </w:r>
      <w:r>
        <w:rPr>
          <w:rStyle w:val="s31"/>
          <w:rFonts w:ascii="Arial" w:hAnsi="Arial" w:cs="Arial"/>
          <w:lang/>
        </w:rPr>
        <w:t>无偿移交政府发展备用地</w:t>
      </w:r>
      <w:r>
        <w:rPr>
          <w:rStyle w:val="s31"/>
          <w:rFonts w:ascii="Arial" w:hAnsi="Arial" w:cs="Arial"/>
          <w:lang/>
        </w:rPr>
        <w:t>(</w:t>
      </w:r>
      <w:r>
        <w:rPr>
          <w:rStyle w:val="s31"/>
          <w:rFonts w:ascii="Arial" w:hAnsi="Arial" w:cs="Arial"/>
          <w:lang/>
        </w:rPr>
        <w:t>每处用地规模不少于</w:t>
      </w:r>
      <w:r>
        <w:rPr>
          <w:rStyle w:val="s31"/>
          <w:rFonts w:ascii="Arial" w:hAnsi="Arial" w:cs="Arial"/>
          <w:lang/>
        </w:rPr>
        <w:t>3000</w:t>
      </w:r>
      <w:r>
        <w:rPr>
          <w:rStyle w:val="s31"/>
          <w:rFonts w:ascii="Arial" w:hAnsi="Arial" w:cs="Arial"/>
          <w:lang/>
        </w:rPr>
        <w:t>平方米，且形状</w:t>
      </w:r>
      <w:proofErr w:type="gramStart"/>
      <w:r>
        <w:rPr>
          <w:rStyle w:val="s31"/>
          <w:rFonts w:ascii="Arial" w:hAnsi="Arial" w:cs="Arial"/>
          <w:lang/>
        </w:rPr>
        <w:t>规整可</w:t>
      </w:r>
      <w:proofErr w:type="gramEnd"/>
      <w:r>
        <w:rPr>
          <w:rStyle w:val="s31"/>
          <w:rFonts w:ascii="Arial" w:hAnsi="Arial" w:cs="Arial"/>
          <w:lang/>
        </w:rPr>
        <w:t>单独开发，可按政府要求规划为经营性用地、行政办公用地或其他市政设施备用地</w:t>
      </w:r>
      <w:r>
        <w:rPr>
          <w:rStyle w:val="s31"/>
          <w:rFonts w:ascii="Arial" w:hAnsi="Arial" w:cs="Arial"/>
          <w:lang/>
        </w:rPr>
        <w:t>)</w:t>
      </w:r>
      <w:r>
        <w:rPr>
          <w:rStyle w:val="s31"/>
          <w:rFonts w:ascii="Arial" w:hAnsi="Arial" w:cs="Arial"/>
          <w:lang/>
        </w:rPr>
        <w:t>的，按用地规模的</w:t>
      </w:r>
      <w:r>
        <w:rPr>
          <w:rStyle w:val="s31"/>
          <w:rFonts w:ascii="Arial" w:hAnsi="Arial" w:cs="Arial"/>
          <w:lang/>
        </w:rPr>
        <w:t>2.5</w:t>
      </w:r>
      <w:r>
        <w:rPr>
          <w:rStyle w:val="s31"/>
          <w:rFonts w:ascii="Arial" w:hAnsi="Arial" w:cs="Arial"/>
          <w:lang/>
        </w:rPr>
        <w:t>倍给予建筑规模奖励。</w:t>
      </w:r>
    </w:p>
    <w:p w:rsidR="00D5746B" w:rsidRDefault="00D5746B" w:rsidP="00D5746B">
      <w:pPr>
        <w:pStyle w:val="p4"/>
        <w:rPr>
          <w:rFonts w:ascii="Arial" w:hAnsi="Arial" w:cs="Arial"/>
          <w:color w:val="111111"/>
          <w:lang/>
        </w:rPr>
      </w:pPr>
      <w:r>
        <w:rPr>
          <w:rStyle w:val="s31"/>
          <w:rFonts w:ascii="Arial" w:hAnsi="Arial" w:cs="Arial"/>
          <w:lang/>
        </w:rPr>
        <w:t>(</w:t>
      </w:r>
      <w:r>
        <w:rPr>
          <w:rStyle w:val="s31"/>
          <w:rFonts w:ascii="Arial" w:hAnsi="Arial" w:cs="Arial"/>
          <w:lang/>
        </w:rPr>
        <w:t>三</w:t>
      </w:r>
      <w:r>
        <w:rPr>
          <w:rStyle w:val="s31"/>
          <w:rFonts w:ascii="Arial" w:hAnsi="Arial" w:cs="Arial"/>
          <w:lang/>
        </w:rPr>
        <w:t>)</w:t>
      </w:r>
      <w:r>
        <w:rPr>
          <w:rStyle w:val="s31"/>
          <w:rFonts w:ascii="Arial" w:hAnsi="Arial" w:cs="Arial"/>
          <w:lang/>
        </w:rPr>
        <w:t>无偿移交道路红线宽度大于等于</w:t>
      </w:r>
      <w:r>
        <w:rPr>
          <w:rStyle w:val="s31"/>
          <w:rFonts w:ascii="Arial" w:hAnsi="Arial" w:cs="Arial"/>
          <w:lang/>
        </w:rPr>
        <w:t>24</w:t>
      </w:r>
      <w:r>
        <w:rPr>
          <w:rStyle w:val="s31"/>
          <w:rFonts w:ascii="Arial" w:hAnsi="Arial" w:cs="Arial"/>
          <w:lang/>
        </w:rPr>
        <w:t>米的干道，综合公园、专类公园、社区公园及社区体育公园</w:t>
      </w:r>
      <w:r>
        <w:rPr>
          <w:rStyle w:val="s31"/>
          <w:rFonts w:ascii="Arial" w:hAnsi="Arial" w:cs="Arial"/>
          <w:lang/>
        </w:rPr>
        <w:t>(</w:t>
      </w:r>
      <w:r>
        <w:rPr>
          <w:rStyle w:val="s31"/>
          <w:rFonts w:ascii="Arial" w:hAnsi="Arial" w:cs="Arial"/>
          <w:lang/>
        </w:rPr>
        <w:t>每处用地规模不少于</w:t>
      </w:r>
      <w:r>
        <w:rPr>
          <w:rStyle w:val="s31"/>
          <w:rFonts w:ascii="Arial" w:hAnsi="Arial" w:cs="Arial"/>
          <w:lang/>
        </w:rPr>
        <w:t>6000</w:t>
      </w:r>
      <w:r>
        <w:rPr>
          <w:rStyle w:val="s31"/>
          <w:rFonts w:ascii="Arial" w:hAnsi="Arial" w:cs="Arial"/>
          <w:lang/>
        </w:rPr>
        <w:t>平方米</w:t>
      </w:r>
      <w:r>
        <w:rPr>
          <w:rStyle w:val="s31"/>
          <w:rFonts w:ascii="Arial" w:hAnsi="Arial" w:cs="Arial"/>
          <w:lang/>
        </w:rPr>
        <w:t>,</w:t>
      </w:r>
      <w:r>
        <w:rPr>
          <w:rStyle w:val="s31"/>
          <w:rFonts w:ascii="Arial" w:hAnsi="Arial" w:cs="Arial"/>
          <w:lang/>
        </w:rPr>
        <w:t>形状规整</w:t>
      </w:r>
      <w:r>
        <w:rPr>
          <w:rStyle w:val="s31"/>
          <w:rFonts w:ascii="Arial" w:hAnsi="Arial" w:cs="Arial"/>
          <w:lang/>
        </w:rPr>
        <w:t>,</w:t>
      </w:r>
      <w:r>
        <w:rPr>
          <w:rStyle w:val="s31"/>
          <w:rFonts w:ascii="Arial" w:hAnsi="Arial" w:cs="Arial"/>
          <w:lang/>
        </w:rPr>
        <w:t>平均宽度不少于</w:t>
      </w:r>
      <w:r>
        <w:rPr>
          <w:rStyle w:val="s31"/>
          <w:rFonts w:ascii="Arial" w:hAnsi="Arial" w:cs="Arial"/>
          <w:lang/>
        </w:rPr>
        <w:t>40</w:t>
      </w:r>
      <w:r>
        <w:rPr>
          <w:rStyle w:val="s31"/>
          <w:rFonts w:ascii="Arial" w:hAnsi="Arial" w:cs="Arial"/>
          <w:lang/>
        </w:rPr>
        <w:t>米，平均宽度</w:t>
      </w:r>
      <w:r>
        <w:rPr>
          <w:rStyle w:val="s31"/>
          <w:rFonts w:ascii="Arial" w:hAnsi="Arial" w:cs="Arial"/>
          <w:lang/>
        </w:rPr>
        <w:t>=</w:t>
      </w:r>
      <w:r>
        <w:rPr>
          <w:rStyle w:val="s31"/>
          <w:rFonts w:ascii="Arial" w:hAnsi="Arial" w:cs="Arial"/>
          <w:lang/>
        </w:rPr>
        <w:t>用地规模</w:t>
      </w:r>
      <w:r>
        <w:rPr>
          <w:rStyle w:val="s31"/>
          <w:rFonts w:ascii="Arial" w:hAnsi="Arial" w:cs="Arial"/>
          <w:lang/>
        </w:rPr>
        <w:t>/</w:t>
      </w:r>
      <w:r>
        <w:rPr>
          <w:rStyle w:val="s31"/>
          <w:rFonts w:ascii="Arial" w:hAnsi="Arial" w:cs="Arial"/>
          <w:lang/>
        </w:rPr>
        <w:t>用地形状投影于最长边的长度</w:t>
      </w:r>
      <w:r>
        <w:rPr>
          <w:rStyle w:val="s31"/>
          <w:rFonts w:ascii="Arial" w:hAnsi="Arial" w:cs="Arial"/>
          <w:lang/>
        </w:rPr>
        <w:t>)</w:t>
      </w:r>
      <w:r>
        <w:rPr>
          <w:rStyle w:val="s31"/>
          <w:rFonts w:ascii="Arial" w:hAnsi="Arial" w:cs="Arial"/>
          <w:lang/>
        </w:rPr>
        <w:t>、文化设施用地</w:t>
      </w:r>
      <w:r>
        <w:rPr>
          <w:rStyle w:val="s31"/>
          <w:rFonts w:ascii="Arial" w:hAnsi="Arial" w:cs="Arial"/>
          <w:lang/>
        </w:rPr>
        <w:t>(</w:t>
      </w:r>
      <w:r>
        <w:rPr>
          <w:rStyle w:val="s31"/>
          <w:rFonts w:ascii="Arial" w:hAnsi="Arial" w:cs="Arial"/>
          <w:lang/>
        </w:rPr>
        <w:t>用地规模不少于</w:t>
      </w:r>
      <w:r>
        <w:rPr>
          <w:rStyle w:val="s31"/>
          <w:rFonts w:ascii="Arial" w:hAnsi="Arial" w:cs="Arial"/>
          <w:lang/>
        </w:rPr>
        <w:t>4000</w:t>
      </w:r>
      <w:r>
        <w:rPr>
          <w:rStyle w:val="s31"/>
          <w:rFonts w:ascii="Arial" w:hAnsi="Arial" w:cs="Arial"/>
          <w:lang/>
        </w:rPr>
        <w:t>平方米</w:t>
      </w:r>
      <w:r>
        <w:rPr>
          <w:rStyle w:val="s31"/>
          <w:rFonts w:ascii="Arial" w:hAnsi="Arial" w:cs="Arial"/>
          <w:lang/>
        </w:rPr>
        <w:t>)</w:t>
      </w:r>
      <w:r>
        <w:rPr>
          <w:rStyle w:val="s31"/>
          <w:rFonts w:ascii="Arial" w:hAnsi="Arial" w:cs="Arial"/>
          <w:lang/>
        </w:rPr>
        <w:t>的，按用地规模的</w:t>
      </w:r>
      <w:r>
        <w:rPr>
          <w:rStyle w:val="s31"/>
          <w:rFonts w:ascii="Arial" w:hAnsi="Arial" w:cs="Arial"/>
          <w:lang/>
        </w:rPr>
        <w:t>2.5</w:t>
      </w:r>
      <w:r>
        <w:rPr>
          <w:rStyle w:val="s31"/>
          <w:rFonts w:ascii="Arial" w:hAnsi="Arial" w:cs="Arial"/>
          <w:lang/>
        </w:rPr>
        <w:t>倍给予建筑规模奖励。</w:t>
      </w:r>
    </w:p>
    <w:p w:rsidR="00D5746B" w:rsidRDefault="00D5746B" w:rsidP="00D5746B">
      <w:pPr>
        <w:pStyle w:val="p4"/>
        <w:rPr>
          <w:rFonts w:ascii="Arial" w:hAnsi="Arial" w:cs="Arial"/>
          <w:color w:val="111111"/>
          <w:lang/>
        </w:rPr>
      </w:pPr>
      <w:r>
        <w:rPr>
          <w:rStyle w:val="s31"/>
          <w:rFonts w:ascii="Arial" w:hAnsi="Arial" w:cs="Arial"/>
          <w:lang/>
        </w:rPr>
        <w:lastRenderedPageBreak/>
        <w:t>(</w:t>
      </w:r>
      <w:r>
        <w:rPr>
          <w:rStyle w:val="s31"/>
          <w:rFonts w:ascii="Arial" w:hAnsi="Arial" w:cs="Arial"/>
          <w:lang/>
        </w:rPr>
        <w:t>四</w:t>
      </w:r>
      <w:r>
        <w:rPr>
          <w:rStyle w:val="s31"/>
          <w:rFonts w:ascii="Arial" w:hAnsi="Arial" w:cs="Arial"/>
          <w:lang/>
        </w:rPr>
        <w:t>)</w:t>
      </w:r>
      <w:r>
        <w:rPr>
          <w:rStyle w:val="s31"/>
          <w:rFonts w:ascii="Arial" w:hAnsi="Arial" w:cs="Arial"/>
          <w:lang/>
        </w:rPr>
        <w:t>无偿移交集中成片的生态用地</w:t>
      </w:r>
      <w:r>
        <w:rPr>
          <w:rStyle w:val="s31"/>
          <w:rFonts w:ascii="Arial" w:hAnsi="Arial" w:cs="Arial"/>
          <w:lang/>
        </w:rPr>
        <w:t>(E)</w:t>
      </w:r>
      <w:r>
        <w:rPr>
          <w:rStyle w:val="s31"/>
          <w:rFonts w:ascii="Arial" w:hAnsi="Arial" w:cs="Arial"/>
          <w:lang/>
        </w:rPr>
        <w:t>的，按用地规模的</w:t>
      </w:r>
      <w:r>
        <w:rPr>
          <w:rStyle w:val="s31"/>
          <w:rFonts w:ascii="Arial" w:hAnsi="Arial" w:cs="Arial"/>
          <w:lang/>
        </w:rPr>
        <w:t>1.5</w:t>
      </w:r>
      <w:r>
        <w:rPr>
          <w:rStyle w:val="s31"/>
          <w:rFonts w:ascii="Arial" w:hAnsi="Arial" w:cs="Arial"/>
          <w:lang/>
        </w:rPr>
        <w:t>倍给予建筑规模奖励。</w:t>
      </w:r>
    </w:p>
    <w:p w:rsidR="00D5746B" w:rsidRDefault="00D5746B" w:rsidP="00D5746B">
      <w:pPr>
        <w:pStyle w:val="p4"/>
        <w:rPr>
          <w:rFonts w:ascii="Arial" w:hAnsi="Arial" w:cs="Arial"/>
          <w:color w:val="111111"/>
          <w:lang/>
        </w:rPr>
      </w:pPr>
      <w:r>
        <w:rPr>
          <w:rStyle w:val="s31"/>
          <w:rFonts w:ascii="Arial" w:hAnsi="Arial" w:cs="Arial"/>
          <w:lang/>
        </w:rPr>
        <w:t>(</w:t>
      </w:r>
      <w:r>
        <w:rPr>
          <w:rStyle w:val="s31"/>
          <w:rFonts w:ascii="Arial" w:hAnsi="Arial" w:cs="Arial"/>
          <w:lang/>
        </w:rPr>
        <w:t>五</w:t>
      </w:r>
      <w:r>
        <w:rPr>
          <w:rStyle w:val="s31"/>
          <w:rFonts w:ascii="Arial" w:hAnsi="Arial" w:cs="Arial"/>
          <w:lang/>
        </w:rPr>
        <w:t>)</w:t>
      </w:r>
      <w:r>
        <w:rPr>
          <w:rStyle w:val="s31"/>
          <w:rFonts w:ascii="Arial" w:hAnsi="Arial" w:cs="Arial"/>
          <w:lang/>
        </w:rPr>
        <w:t>对高速公路沿线</w:t>
      </w:r>
      <w:r>
        <w:rPr>
          <w:rStyle w:val="s31"/>
          <w:rFonts w:ascii="Arial" w:hAnsi="Arial" w:cs="Arial"/>
          <w:lang/>
        </w:rPr>
        <w:t>(</w:t>
      </w:r>
      <w:r>
        <w:rPr>
          <w:rStyle w:val="s31"/>
          <w:rFonts w:ascii="Arial" w:hAnsi="Arial" w:cs="Arial"/>
          <w:lang/>
        </w:rPr>
        <w:t>高速公路中心线两侧各</w:t>
      </w:r>
      <w:r>
        <w:rPr>
          <w:rStyle w:val="s31"/>
          <w:rFonts w:ascii="Arial" w:hAnsi="Arial" w:cs="Arial"/>
          <w:lang/>
        </w:rPr>
        <w:t>70</w:t>
      </w:r>
      <w:r>
        <w:rPr>
          <w:rStyle w:val="s31"/>
          <w:rFonts w:ascii="Arial" w:hAnsi="Arial" w:cs="Arial"/>
          <w:lang/>
        </w:rPr>
        <w:t>米范围内</w:t>
      </w:r>
      <w:r>
        <w:rPr>
          <w:rStyle w:val="s31"/>
          <w:rFonts w:ascii="Arial" w:hAnsi="Arial" w:cs="Arial"/>
          <w:lang/>
        </w:rPr>
        <w:t>)</w:t>
      </w:r>
      <w:r>
        <w:rPr>
          <w:rStyle w:val="s31"/>
          <w:rFonts w:ascii="Arial" w:hAnsi="Arial" w:cs="Arial"/>
          <w:lang/>
        </w:rPr>
        <w:t>进行拆除，规划为生态用地和城市绿地</w:t>
      </w:r>
      <w:r>
        <w:rPr>
          <w:rStyle w:val="s31"/>
          <w:rFonts w:ascii="Arial" w:hAnsi="Arial" w:cs="Arial"/>
          <w:lang/>
        </w:rPr>
        <w:t>(G1</w:t>
      </w:r>
      <w:r>
        <w:rPr>
          <w:rStyle w:val="s31"/>
          <w:rFonts w:ascii="Arial" w:hAnsi="Arial" w:cs="Arial"/>
          <w:lang/>
        </w:rPr>
        <w:t>除外</w:t>
      </w:r>
      <w:r>
        <w:rPr>
          <w:rStyle w:val="s31"/>
          <w:rFonts w:ascii="Arial" w:hAnsi="Arial" w:cs="Arial"/>
          <w:lang/>
        </w:rPr>
        <w:t>)</w:t>
      </w:r>
      <w:r>
        <w:rPr>
          <w:rStyle w:val="s31"/>
          <w:rFonts w:ascii="Arial" w:hAnsi="Arial" w:cs="Arial"/>
          <w:lang/>
        </w:rPr>
        <w:t>的，按用地规模的</w:t>
      </w:r>
      <w:r>
        <w:rPr>
          <w:rStyle w:val="s31"/>
          <w:rFonts w:ascii="Arial" w:hAnsi="Arial" w:cs="Arial"/>
          <w:lang/>
        </w:rPr>
        <w:t>2.0</w:t>
      </w:r>
      <w:r>
        <w:rPr>
          <w:rStyle w:val="s31"/>
          <w:rFonts w:ascii="Arial" w:hAnsi="Arial" w:cs="Arial"/>
          <w:lang/>
        </w:rPr>
        <w:t>倍给予建筑规模奖励；规划为各类公园</w:t>
      </w:r>
      <w:r>
        <w:rPr>
          <w:rStyle w:val="s31"/>
          <w:rFonts w:ascii="Arial" w:hAnsi="Arial" w:cs="Arial"/>
          <w:lang/>
        </w:rPr>
        <w:t>(G1)</w:t>
      </w:r>
      <w:r>
        <w:rPr>
          <w:rStyle w:val="s31"/>
          <w:rFonts w:ascii="Arial" w:hAnsi="Arial" w:cs="Arial"/>
          <w:lang/>
        </w:rPr>
        <w:t>的，参照第</w:t>
      </w:r>
      <w:r>
        <w:rPr>
          <w:rStyle w:val="s31"/>
          <w:rFonts w:ascii="Arial" w:hAnsi="Arial" w:cs="Arial"/>
          <w:lang/>
        </w:rPr>
        <w:t>(</w:t>
      </w:r>
      <w:r>
        <w:rPr>
          <w:rStyle w:val="s31"/>
          <w:rFonts w:ascii="Arial" w:hAnsi="Arial" w:cs="Arial"/>
          <w:lang/>
        </w:rPr>
        <w:t>三</w:t>
      </w:r>
      <w:r>
        <w:rPr>
          <w:rStyle w:val="s31"/>
          <w:rFonts w:ascii="Arial" w:hAnsi="Arial" w:cs="Arial"/>
          <w:lang/>
        </w:rPr>
        <w:t>)</w:t>
      </w:r>
      <w:r>
        <w:rPr>
          <w:rStyle w:val="s31"/>
          <w:rFonts w:ascii="Arial" w:hAnsi="Arial" w:cs="Arial"/>
          <w:lang/>
        </w:rPr>
        <w:t>条处理。属于这种情况的，奖励建筑规模统一按最高标准执行，不再进行叠加计算。</w:t>
      </w:r>
    </w:p>
    <w:p w:rsidR="00D5746B" w:rsidRDefault="00D5746B" w:rsidP="00D5746B">
      <w:pPr>
        <w:pStyle w:val="p4"/>
        <w:rPr>
          <w:rFonts w:ascii="Arial" w:hAnsi="Arial" w:cs="Arial"/>
          <w:color w:val="111111"/>
          <w:lang/>
        </w:rPr>
      </w:pPr>
      <w:r>
        <w:rPr>
          <w:rStyle w:val="s31"/>
          <w:rFonts w:ascii="Arial" w:hAnsi="Arial" w:cs="Arial"/>
          <w:lang/>
        </w:rPr>
        <w:t>(</w:t>
      </w:r>
      <w:r>
        <w:rPr>
          <w:rStyle w:val="s31"/>
          <w:rFonts w:ascii="Arial" w:hAnsi="Arial" w:cs="Arial"/>
          <w:lang/>
        </w:rPr>
        <w:t>六</w:t>
      </w:r>
      <w:r>
        <w:rPr>
          <w:rStyle w:val="s31"/>
          <w:rFonts w:ascii="Arial" w:hAnsi="Arial" w:cs="Arial"/>
          <w:lang/>
        </w:rPr>
        <w:t>)</w:t>
      </w:r>
      <w:r>
        <w:rPr>
          <w:rStyle w:val="s31"/>
          <w:rFonts w:ascii="Arial" w:hAnsi="Arial" w:cs="Arial"/>
          <w:lang/>
        </w:rPr>
        <w:t>对历史建筑或其他历史场所等进行实施修缮和整治，且承担其修缮、整治费用及责任的，按用地规模的</w:t>
      </w:r>
      <w:r>
        <w:rPr>
          <w:rStyle w:val="s31"/>
          <w:rFonts w:ascii="Arial" w:hAnsi="Arial" w:cs="Arial"/>
          <w:lang/>
        </w:rPr>
        <w:t>1.5</w:t>
      </w:r>
      <w:r>
        <w:rPr>
          <w:rStyle w:val="s31"/>
          <w:rFonts w:ascii="Arial" w:hAnsi="Arial" w:cs="Arial"/>
          <w:lang/>
        </w:rPr>
        <w:t>倍给予建筑规模奖励。</w:t>
      </w:r>
    </w:p>
    <w:p w:rsidR="00D5746B" w:rsidRDefault="00D5746B" w:rsidP="00D5746B">
      <w:pPr>
        <w:pStyle w:val="p4"/>
        <w:rPr>
          <w:rFonts w:ascii="Arial" w:hAnsi="Arial" w:cs="Arial"/>
          <w:color w:val="111111"/>
          <w:lang/>
        </w:rPr>
      </w:pPr>
      <w:r>
        <w:rPr>
          <w:rStyle w:val="s31"/>
          <w:rFonts w:ascii="Arial" w:hAnsi="Arial" w:cs="Arial"/>
          <w:lang/>
        </w:rPr>
        <w:t>(</w:t>
      </w:r>
      <w:r>
        <w:rPr>
          <w:rStyle w:val="s31"/>
          <w:rFonts w:ascii="Arial" w:hAnsi="Arial" w:cs="Arial"/>
          <w:lang/>
        </w:rPr>
        <w:t>七</w:t>
      </w:r>
      <w:r>
        <w:rPr>
          <w:rStyle w:val="s31"/>
          <w:rFonts w:ascii="Arial" w:hAnsi="Arial" w:cs="Arial"/>
          <w:lang/>
        </w:rPr>
        <w:t>)</w:t>
      </w:r>
      <w:r>
        <w:rPr>
          <w:rStyle w:val="s31"/>
          <w:rFonts w:ascii="Arial" w:hAnsi="Arial" w:cs="Arial"/>
          <w:lang/>
        </w:rPr>
        <w:t>无偿移交</w:t>
      </w:r>
      <w:proofErr w:type="gramStart"/>
      <w:r>
        <w:rPr>
          <w:rStyle w:val="s31"/>
          <w:rFonts w:ascii="Arial" w:hAnsi="Arial" w:cs="Arial"/>
          <w:lang/>
        </w:rPr>
        <w:t>公交首</w:t>
      </w:r>
      <w:proofErr w:type="gramEnd"/>
      <w:r>
        <w:rPr>
          <w:rStyle w:val="s31"/>
          <w:rFonts w:ascii="Arial" w:hAnsi="Arial" w:cs="Arial"/>
          <w:lang/>
        </w:rPr>
        <w:t>末站、社会公共停车场的，按有效使用面积的</w:t>
      </w:r>
      <w:r>
        <w:rPr>
          <w:rStyle w:val="s31"/>
          <w:rFonts w:ascii="Arial" w:hAnsi="Arial" w:cs="Arial"/>
          <w:lang/>
        </w:rPr>
        <w:t>1.0</w:t>
      </w:r>
      <w:r>
        <w:rPr>
          <w:rStyle w:val="s31"/>
          <w:rFonts w:ascii="Arial" w:hAnsi="Arial" w:cs="Arial"/>
          <w:lang/>
        </w:rPr>
        <w:t>倍给予建筑规模奖励</w:t>
      </w:r>
      <w:r>
        <w:rPr>
          <w:rStyle w:val="s31"/>
          <w:rFonts w:ascii="Arial" w:hAnsi="Arial" w:cs="Arial"/>
          <w:lang/>
        </w:rPr>
        <w:t>(</w:t>
      </w:r>
      <w:r>
        <w:rPr>
          <w:rStyle w:val="s31"/>
          <w:rFonts w:ascii="Arial" w:hAnsi="Arial" w:cs="Arial"/>
          <w:lang/>
        </w:rPr>
        <w:t>可附设</w:t>
      </w:r>
      <w:r>
        <w:rPr>
          <w:rStyle w:val="s31"/>
          <w:rFonts w:ascii="Arial" w:hAnsi="Arial" w:cs="Arial"/>
          <w:lang/>
        </w:rPr>
        <w:t>)</w:t>
      </w:r>
      <w:r>
        <w:rPr>
          <w:rStyle w:val="s31"/>
          <w:rFonts w:ascii="Arial" w:hAnsi="Arial" w:cs="Arial"/>
          <w:lang/>
        </w:rPr>
        <w:t>。如在本款第</w:t>
      </w:r>
      <w:r>
        <w:rPr>
          <w:rStyle w:val="s31"/>
          <w:rFonts w:ascii="Arial" w:hAnsi="Arial" w:cs="Arial"/>
          <w:lang/>
        </w:rPr>
        <w:t>(</w:t>
      </w:r>
      <w:proofErr w:type="gramStart"/>
      <w:r>
        <w:rPr>
          <w:rStyle w:val="s31"/>
          <w:rFonts w:ascii="Arial" w:hAnsi="Arial" w:cs="Arial"/>
          <w:lang/>
        </w:rPr>
        <w:t>一</w:t>
      </w:r>
      <w:proofErr w:type="gramEnd"/>
      <w:r>
        <w:rPr>
          <w:rStyle w:val="s31"/>
          <w:rFonts w:ascii="Arial" w:hAnsi="Arial" w:cs="Arial"/>
          <w:lang/>
        </w:rPr>
        <w:t>)</w:t>
      </w:r>
      <w:r>
        <w:rPr>
          <w:rStyle w:val="s31"/>
          <w:rFonts w:ascii="Arial" w:hAnsi="Arial" w:cs="Arial"/>
          <w:lang/>
        </w:rPr>
        <w:t>至</w:t>
      </w:r>
      <w:r>
        <w:rPr>
          <w:rStyle w:val="s31"/>
          <w:rFonts w:ascii="Arial" w:hAnsi="Arial" w:cs="Arial"/>
          <w:lang/>
        </w:rPr>
        <w:t>(</w:t>
      </w:r>
      <w:r>
        <w:rPr>
          <w:rStyle w:val="s31"/>
          <w:rFonts w:ascii="Arial" w:hAnsi="Arial" w:cs="Arial"/>
          <w:lang/>
        </w:rPr>
        <w:t>五</w:t>
      </w:r>
      <w:r>
        <w:rPr>
          <w:rStyle w:val="s31"/>
          <w:rFonts w:ascii="Arial" w:hAnsi="Arial" w:cs="Arial"/>
          <w:lang/>
        </w:rPr>
        <w:t>)</w:t>
      </w:r>
      <w:r>
        <w:rPr>
          <w:rStyle w:val="s31"/>
          <w:rFonts w:ascii="Arial" w:hAnsi="Arial" w:cs="Arial"/>
          <w:lang/>
        </w:rPr>
        <w:t>条所述设施内附设</w:t>
      </w:r>
      <w:proofErr w:type="gramStart"/>
      <w:r>
        <w:rPr>
          <w:rStyle w:val="s31"/>
          <w:rFonts w:ascii="Arial" w:hAnsi="Arial" w:cs="Arial"/>
          <w:lang/>
        </w:rPr>
        <w:t>公交首</w:t>
      </w:r>
      <w:proofErr w:type="gramEnd"/>
      <w:r>
        <w:rPr>
          <w:rStyle w:val="s31"/>
          <w:rFonts w:ascii="Arial" w:hAnsi="Arial" w:cs="Arial"/>
          <w:lang/>
        </w:rPr>
        <w:t>末站、社会公共停车场的，则不再重复给予建筑规模奖励。</w:t>
      </w:r>
    </w:p>
    <w:p w:rsidR="00D5746B" w:rsidRDefault="00D5746B" w:rsidP="00D5746B">
      <w:pPr>
        <w:pStyle w:val="p4"/>
        <w:rPr>
          <w:rFonts w:ascii="Arial" w:hAnsi="Arial" w:cs="Arial"/>
          <w:color w:val="111111"/>
          <w:lang/>
        </w:rPr>
      </w:pPr>
      <w:r>
        <w:rPr>
          <w:rStyle w:val="s31"/>
          <w:rFonts w:ascii="Arial" w:hAnsi="Arial" w:cs="Arial"/>
          <w:lang/>
        </w:rPr>
        <w:t>在前期研究报告编制阶段，对已批更新单元划定确定的公共设施用地进行扩大的，可按上述标准核增奖励建筑规模</w:t>
      </w:r>
      <w:r>
        <w:rPr>
          <w:rStyle w:val="s31"/>
          <w:rFonts w:ascii="Arial" w:hAnsi="Arial" w:cs="Arial"/>
          <w:lang/>
        </w:rPr>
        <w:t>(</w:t>
      </w:r>
      <w:r>
        <w:rPr>
          <w:rStyle w:val="s31"/>
          <w:rFonts w:ascii="Arial" w:hAnsi="Arial" w:cs="Arial"/>
          <w:lang/>
        </w:rPr>
        <w:t>但不得超出原奖励规模的</w:t>
      </w:r>
      <w:r>
        <w:rPr>
          <w:rStyle w:val="s31"/>
          <w:rFonts w:ascii="Arial" w:hAnsi="Arial" w:cs="Arial"/>
          <w:lang/>
        </w:rPr>
        <w:t>10%)</w:t>
      </w:r>
      <w:r>
        <w:rPr>
          <w:rStyle w:val="s31"/>
          <w:rFonts w:ascii="Arial" w:hAnsi="Arial" w:cs="Arial"/>
          <w:lang/>
        </w:rPr>
        <w:t>；在单元划定基础上，额外贡献政府发展备用地给政府收储的，仍按本款第</w:t>
      </w:r>
      <w:r>
        <w:rPr>
          <w:rStyle w:val="s31"/>
          <w:rFonts w:ascii="Arial" w:hAnsi="Arial" w:cs="Arial"/>
          <w:lang/>
        </w:rPr>
        <w:t>(</w:t>
      </w:r>
      <w:r>
        <w:rPr>
          <w:rStyle w:val="s31"/>
          <w:rFonts w:ascii="Arial" w:hAnsi="Arial" w:cs="Arial"/>
          <w:lang/>
        </w:rPr>
        <w:t>二</w:t>
      </w:r>
      <w:r>
        <w:rPr>
          <w:rStyle w:val="s31"/>
          <w:rFonts w:ascii="Arial" w:hAnsi="Arial" w:cs="Arial"/>
          <w:lang/>
        </w:rPr>
        <w:t>)</w:t>
      </w:r>
      <w:r>
        <w:rPr>
          <w:rStyle w:val="s31"/>
          <w:rFonts w:ascii="Arial" w:hAnsi="Arial" w:cs="Arial"/>
          <w:lang/>
        </w:rPr>
        <w:t>条的规定进行建筑规模奖励；其余情况新增公共设施用地的不作建筑规模奖励。</w:t>
      </w:r>
    </w:p>
    <w:p w:rsidR="00D5746B" w:rsidRDefault="00D5746B" w:rsidP="00D5746B">
      <w:pPr>
        <w:pStyle w:val="p4"/>
        <w:rPr>
          <w:rFonts w:ascii="Arial" w:hAnsi="Arial" w:cs="Arial"/>
          <w:color w:val="111111"/>
          <w:lang/>
        </w:rPr>
      </w:pPr>
      <w:r>
        <w:rPr>
          <w:rStyle w:val="s31"/>
          <w:rFonts w:ascii="Arial" w:hAnsi="Arial" w:cs="Arial"/>
          <w:lang/>
        </w:rPr>
        <w:t>上述设施的最小用地规模是指实际规划且具备可实施条件的用地规模。如果实际规划且具备可实施条件的用地规模符合最小用地规模要求，但拆除范围</w:t>
      </w:r>
      <w:proofErr w:type="gramStart"/>
      <w:r>
        <w:rPr>
          <w:rStyle w:val="s31"/>
          <w:rFonts w:ascii="Arial" w:hAnsi="Arial" w:cs="Arial"/>
          <w:lang/>
        </w:rPr>
        <w:t>内贡献</w:t>
      </w:r>
      <w:proofErr w:type="gramEnd"/>
      <w:r>
        <w:rPr>
          <w:rStyle w:val="s31"/>
          <w:rFonts w:ascii="Arial" w:hAnsi="Arial" w:cs="Arial"/>
          <w:lang/>
        </w:rPr>
        <w:t>的用地不符合最小用地规模的，在拆除范</w:t>
      </w:r>
      <w:r>
        <w:rPr>
          <w:rStyle w:val="s31"/>
          <w:rFonts w:ascii="Arial" w:hAnsi="Arial" w:cs="Arial"/>
          <w:lang/>
        </w:rPr>
        <w:lastRenderedPageBreak/>
        <w:t>围以外用地权属主体同意作为公共设施用地的前提下，同样适用上述奖励标准。</w:t>
      </w:r>
    </w:p>
    <w:p w:rsidR="00D5746B" w:rsidRDefault="00D5746B" w:rsidP="00D5746B">
      <w:pPr>
        <w:pStyle w:val="p4"/>
        <w:rPr>
          <w:rFonts w:ascii="Arial" w:hAnsi="Arial" w:cs="Arial"/>
          <w:color w:val="111111"/>
          <w:lang/>
        </w:rPr>
      </w:pPr>
      <w:r>
        <w:rPr>
          <w:rStyle w:val="s21"/>
          <w:rFonts w:ascii="Arial" w:hAnsi="Arial" w:cs="Arial"/>
          <w:lang/>
        </w:rPr>
        <w:t>六、补偿建筑面积</w:t>
      </w:r>
    </w:p>
    <w:p w:rsidR="00D5746B" w:rsidRDefault="00D5746B" w:rsidP="00D5746B">
      <w:pPr>
        <w:pStyle w:val="p4"/>
        <w:rPr>
          <w:rFonts w:ascii="Arial" w:hAnsi="Arial" w:cs="Arial"/>
          <w:color w:val="111111"/>
          <w:lang/>
        </w:rPr>
      </w:pPr>
      <w:r>
        <w:rPr>
          <w:rStyle w:val="s31"/>
          <w:rFonts w:ascii="Arial" w:hAnsi="Arial" w:cs="Arial"/>
          <w:lang/>
        </w:rPr>
        <w:t>对于拆除范围内的旧村、旧城，给予一定比例的建筑量补偿。旧城仅针对旧房改房</w:t>
      </w:r>
      <w:proofErr w:type="gramStart"/>
      <w:r>
        <w:rPr>
          <w:rStyle w:val="s31"/>
          <w:rFonts w:ascii="Arial" w:hAnsi="Arial" w:cs="Arial"/>
          <w:lang/>
        </w:rPr>
        <w:t>和旧商住</w:t>
      </w:r>
      <w:proofErr w:type="gramEnd"/>
      <w:r>
        <w:rPr>
          <w:rStyle w:val="s31"/>
          <w:rFonts w:ascii="Arial" w:hAnsi="Arial" w:cs="Arial"/>
          <w:lang/>
        </w:rPr>
        <w:t>小区，按其合法建筑规模的</w:t>
      </w:r>
      <w:r>
        <w:rPr>
          <w:rStyle w:val="s31"/>
          <w:rFonts w:ascii="Arial" w:hAnsi="Arial" w:cs="Arial"/>
          <w:lang/>
        </w:rPr>
        <w:t>0.8</w:t>
      </w:r>
      <w:r>
        <w:rPr>
          <w:rStyle w:val="s31"/>
          <w:rFonts w:ascii="Arial" w:hAnsi="Arial" w:cs="Arial"/>
          <w:lang/>
        </w:rPr>
        <w:t>倍给予建筑量补偿，合法建筑规模以房产主管部门认可的数据为准；旧村按宅基地用地规模的</w:t>
      </w:r>
      <w:r>
        <w:rPr>
          <w:rStyle w:val="s31"/>
          <w:rFonts w:ascii="Arial" w:hAnsi="Arial" w:cs="Arial"/>
          <w:lang/>
        </w:rPr>
        <w:t>1.5</w:t>
      </w:r>
      <w:r>
        <w:rPr>
          <w:rStyle w:val="s31"/>
          <w:rFonts w:ascii="Arial" w:hAnsi="Arial" w:cs="Arial"/>
          <w:lang/>
        </w:rPr>
        <w:t>倍</w:t>
      </w:r>
      <w:bookmarkStart w:id="1" w:name="footnote_back_1"/>
      <w:r>
        <w:rPr>
          <w:rFonts w:ascii="Arial" w:hAnsi="Arial" w:cs="Arial"/>
          <w:color w:val="111111"/>
          <w:lang/>
        </w:rPr>
        <w:fldChar w:fldCharType="begin"/>
      </w:r>
      <w:r>
        <w:rPr>
          <w:rFonts w:ascii="Arial" w:hAnsi="Arial" w:cs="Arial"/>
          <w:color w:val="111111"/>
          <w:lang/>
        </w:rPr>
        <w:instrText xml:space="preserve"> HYPERLINK "" \l "footnote_1" </w:instrText>
      </w:r>
      <w:r>
        <w:rPr>
          <w:rFonts w:ascii="Arial" w:hAnsi="Arial" w:cs="Arial"/>
          <w:color w:val="111111"/>
          <w:lang/>
        </w:rPr>
        <w:fldChar w:fldCharType="separate"/>
      </w:r>
      <w:r>
        <w:rPr>
          <w:rStyle w:val="a3"/>
          <w:rFonts w:ascii="Arial" w:hAnsi="Arial" w:cs="Arial"/>
          <w:sz w:val="24"/>
          <w:szCs w:val="24"/>
          <w:vertAlign w:val="superscript"/>
          <w:lang/>
        </w:rPr>
        <w:t>1</w:t>
      </w:r>
      <w:r>
        <w:rPr>
          <w:rFonts w:ascii="Arial" w:hAnsi="Arial" w:cs="Arial"/>
          <w:color w:val="111111"/>
          <w:lang/>
        </w:rPr>
        <w:fldChar w:fldCharType="end"/>
      </w:r>
      <w:bookmarkEnd w:id="1"/>
      <w:r>
        <w:rPr>
          <w:rStyle w:val="s31"/>
          <w:rFonts w:ascii="Arial" w:hAnsi="Arial" w:cs="Arial"/>
          <w:lang/>
        </w:rPr>
        <w:t>给予建筑量补偿，由镇</w:t>
      </w:r>
      <w:proofErr w:type="gramStart"/>
      <w:r>
        <w:rPr>
          <w:rStyle w:val="s31"/>
          <w:rFonts w:ascii="Arial" w:hAnsi="Arial" w:cs="Arial"/>
          <w:lang/>
        </w:rPr>
        <w:t>街土地</w:t>
      </w:r>
      <w:proofErr w:type="gramEnd"/>
      <w:r>
        <w:rPr>
          <w:rStyle w:val="s31"/>
          <w:rFonts w:ascii="Arial" w:hAnsi="Arial" w:cs="Arial"/>
          <w:lang/>
        </w:rPr>
        <w:t>主管部门先圈定宅基地范围，再叠加最终修补测入库的地形图数据中居民地</w:t>
      </w:r>
      <w:r>
        <w:rPr>
          <w:rStyle w:val="s31"/>
          <w:rFonts w:ascii="Arial" w:hAnsi="Arial" w:cs="Arial"/>
          <w:lang/>
        </w:rPr>
        <w:t>(JMD)</w:t>
      </w:r>
      <w:r>
        <w:rPr>
          <w:rStyle w:val="s31"/>
          <w:rFonts w:ascii="Arial" w:hAnsi="Arial" w:cs="Arial"/>
          <w:lang/>
        </w:rPr>
        <w:t>图层，计算得出宅基地用地规模。最终修补测入库的地形图数据成果可由镇</w:t>
      </w:r>
      <w:proofErr w:type="gramStart"/>
      <w:r>
        <w:rPr>
          <w:rStyle w:val="s31"/>
          <w:rFonts w:ascii="Arial" w:hAnsi="Arial" w:cs="Arial"/>
          <w:lang/>
        </w:rPr>
        <w:t>街土地</w:t>
      </w:r>
      <w:proofErr w:type="gramEnd"/>
      <w:r>
        <w:rPr>
          <w:rStyle w:val="s31"/>
          <w:rFonts w:ascii="Arial" w:hAnsi="Arial" w:cs="Arial"/>
          <w:lang/>
        </w:rPr>
        <w:t>主管部门向市土地主管部门</w:t>
      </w:r>
      <w:r>
        <w:rPr>
          <w:rStyle w:val="s31"/>
          <w:rFonts w:ascii="Arial" w:hAnsi="Arial" w:cs="Arial"/>
          <w:lang/>
        </w:rPr>
        <w:t>(</w:t>
      </w:r>
      <w:r>
        <w:rPr>
          <w:rStyle w:val="s31"/>
          <w:rFonts w:ascii="Arial" w:hAnsi="Arial" w:cs="Arial"/>
          <w:lang/>
        </w:rPr>
        <w:t>测管科</w:t>
      </w:r>
      <w:r>
        <w:rPr>
          <w:rStyle w:val="s31"/>
          <w:rFonts w:ascii="Arial" w:hAnsi="Arial" w:cs="Arial"/>
          <w:lang/>
        </w:rPr>
        <w:t>)</w:t>
      </w:r>
      <w:r>
        <w:rPr>
          <w:rStyle w:val="s31"/>
          <w:rFonts w:ascii="Arial" w:hAnsi="Arial" w:cs="Arial"/>
          <w:lang/>
        </w:rPr>
        <w:t>进行申请。</w:t>
      </w:r>
    </w:p>
    <w:p w:rsidR="00D5746B" w:rsidRDefault="00D5746B" w:rsidP="00D5746B">
      <w:pPr>
        <w:pStyle w:val="p4"/>
        <w:rPr>
          <w:rFonts w:ascii="Arial" w:hAnsi="Arial" w:cs="Arial"/>
          <w:color w:val="111111"/>
          <w:lang/>
        </w:rPr>
      </w:pPr>
      <w:r>
        <w:rPr>
          <w:rStyle w:val="s21"/>
          <w:rFonts w:ascii="Arial" w:hAnsi="Arial" w:cs="Arial"/>
          <w:lang/>
        </w:rPr>
        <w:t>七、其他说明</w:t>
      </w:r>
    </w:p>
    <w:p w:rsidR="00D5746B" w:rsidRDefault="00D5746B" w:rsidP="00D5746B">
      <w:pPr>
        <w:pStyle w:val="p4"/>
        <w:rPr>
          <w:rFonts w:ascii="Arial" w:hAnsi="Arial" w:cs="Arial"/>
          <w:color w:val="111111"/>
          <w:lang/>
        </w:rPr>
      </w:pPr>
      <w:r>
        <w:rPr>
          <w:rStyle w:val="s31"/>
          <w:rFonts w:ascii="Arial" w:hAnsi="Arial" w:cs="Arial"/>
          <w:lang/>
        </w:rPr>
        <w:t>(</w:t>
      </w:r>
      <w:proofErr w:type="gramStart"/>
      <w:r>
        <w:rPr>
          <w:rStyle w:val="s31"/>
          <w:rFonts w:ascii="Arial" w:hAnsi="Arial" w:cs="Arial"/>
          <w:lang/>
        </w:rPr>
        <w:t>一</w:t>
      </w:r>
      <w:proofErr w:type="gramEnd"/>
      <w:r>
        <w:rPr>
          <w:rStyle w:val="s31"/>
          <w:rFonts w:ascii="Arial" w:hAnsi="Arial" w:cs="Arial"/>
          <w:lang/>
        </w:rPr>
        <w:t>)</w:t>
      </w:r>
      <w:r>
        <w:rPr>
          <w:rStyle w:val="s31"/>
          <w:rFonts w:ascii="Arial" w:hAnsi="Arial" w:cs="Arial"/>
          <w:lang/>
        </w:rPr>
        <w:t>普通工业用地和仓储用地</w:t>
      </w:r>
    </w:p>
    <w:p w:rsidR="00D5746B" w:rsidRDefault="00D5746B" w:rsidP="00D5746B">
      <w:pPr>
        <w:pStyle w:val="p4"/>
        <w:rPr>
          <w:rFonts w:ascii="Arial" w:hAnsi="Arial" w:cs="Arial"/>
          <w:color w:val="111111"/>
          <w:lang/>
        </w:rPr>
      </w:pPr>
      <w:r>
        <w:rPr>
          <w:rStyle w:val="s31"/>
          <w:rFonts w:ascii="Arial" w:hAnsi="Arial" w:cs="Arial"/>
          <w:lang/>
        </w:rPr>
        <w:t>普通工业用地、仓储用地容积率可按发展诉求直接赋值，但不应高于</w:t>
      </w:r>
      <w:r>
        <w:rPr>
          <w:rStyle w:val="s31"/>
          <w:rFonts w:ascii="Arial" w:hAnsi="Arial" w:cs="Arial"/>
          <w:lang/>
        </w:rPr>
        <w:t>4.0</w:t>
      </w:r>
      <w:r>
        <w:rPr>
          <w:rStyle w:val="s31"/>
          <w:rFonts w:ascii="Arial" w:hAnsi="Arial" w:cs="Arial"/>
          <w:lang/>
        </w:rPr>
        <w:t>。</w:t>
      </w:r>
    </w:p>
    <w:p w:rsidR="00D5746B" w:rsidRDefault="00D5746B" w:rsidP="00D5746B">
      <w:pPr>
        <w:pStyle w:val="p4"/>
        <w:rPr>
          <w:rFonts w:ascii="Arial" w:hAnsi="Arial" w:cs="Arial"/>
          <w:color w:val="111111"/>
          <w:lang/>
        </w:rPr>
      </w:pPr>
      <w:r>
        <w:rPr>
          <w:rStyle w:val="s31"/>
          <w:rFonts w:ascii="Arial" w:hAnsi="Arial" w:cs="Arial"/>
          <w:lang/>
        </w:rPr>
        <w:t>(</w:t>
      </w:r>
      <w:r>
        <w:rPr>
          <w:rStyle w:val="s31"/>
          <w:rFonts w:ascii="Arial" w:hAnsi="Arial" w:cs="Arial"/>
          <w:lang/>
        </w:rPr>
        <w:t>二</w:t>
      </w:r>
      <w:r>
        <w:rPr>
          <w:rStyle w:val="s31"/>
          <w:rFonts w:ascii="Arial" w:hAnsi="Arial" w:cs="Arial"/>
          <w:lang/>
        </w:rPr>
        <w:t>)</w:t>
      </w:r>
      <w:r>
        <w:rPr>
          <w:rStyle w:val="s31"/>
          <w:rFonts w:ascii="Arial" w:hAnsi="Arial" w:cs="Arial"/>
          <w:lang/>
        </w:rPr>
        <w:t>新型产业用地</w:t>
      </w:r>
      <w:r>
        <w:rPr>
          <w:rStyle w:val="s31"/>
          <w:rFonts w:ascii="Arial" w:hAnsi="Arial" w:cs="Arial"/>
          <w:lang/>
        </w:rPr>
        <w:t>(M0)</w:t>
      </w:r>
    </w:p>
    <w:p w:rsidR="00D5746B" w:rsidRDefault="00D5746B" w:rsidP="00D5746B">
      <w:pPr>
        <w:pStyle w:val="p4"/>
        <w:rPr>
          <w:rFonts w:ascii="Arial" w:hAnsi="Arial" w:cs="Arial"/>
          <w:color w:val="111111"/>
          <w:lang/>
        </w:rPr>
      </w:pPr>
      <w:r>
        <w:rPr>
          <w:rStyle w:val="s31"/>
          <w:rFonts w:ascii="Arial" w:hAnsi="Arial" w:cs="Arial"/>
          <w:lang/>
        </w:rPr>
        <w:t>新型产业用地</w:t>
      </w:r>
      <w:r>
        <w:rPr>
          <w:rStyle w:val="s31"/>
          <w:rFonts w:ascii="Arial" w:hAnsi="Arial" w:cs="Arial"/>
          <w:lang/>
        </w:rPr>
        <w:t>(</w:t>
      </w:r>
      <w:r>
        <w:rPr>
          <w:rStyle w:val="s31"/>
          <w:rFonts w:ascii="Arial" w:hAnsi="Arial" w:cs="Arial"/>
          <w:lang/>
        </w:rPr>
        <w:t>地块</w:t>
      </w:r>
      <w:r>
        <w:rPr>
          <w:rStyle w:val="s31"/>
          <w:rFonts w:ascii="Arial" w:hAnsi="Arial" w:cs="Arial"/>
          <w:lang/>
        </w:rPr>
        <w:t>)</w:t>
      </w:r>
      <w:r>
        <w:rPr>
          <w:rStyle w:val="s31"/>
          <w:rFonts w:ascii="Arial" w:hAnsi="Arial" w:cs="Arial"/>
          <w:lang/>
        </w:rPr>
        <w:t>容积率诉求为</w:t>
      </w:r>
      <w:r>
        <w:rPr>
          <w:rStyle w:val="s31"/>
          <w:rFonts w:ascii="Arial" w:hAnsi="Arial" w:cs="Arial"/>
          <w:lang/>
        </w:rPr>
        <w:t>3.0-5.0</w:t>
      </w:r>
      <w:r>
        <w:rPr>
          <w:rStyle w:val="s31"/>
          <w:rFonts w:ascii="Arial" w:hAnsi="Arial" w:cs="Arial"/>
          <w:lang/>
        </w:rPr>
        <w:t>时，可直接赋值，诉求高于</w:t>
      </w:r>
      <w:r>
        <w:rPr>
          <w:rStyle w:val="s31"/>
          <w:rFonts w:ascii="Arial" w:hAnsi="Arial" w:cs="Arial"/>
          <w:lang/>
        </w:rPr>
        <w:t>5.0</w:t>
      </w:r>
      <w:r>
        <w:rPr>
          <w:rStyle w:val="s31"/>
          <w:rFonts w:ascii="Arial" w:hAnsi="Arial" w:cs="Arial"/>
          <w:lang/>
        </w:rPr>
        <w:t>时，应按本指引进行计算，科研用地、产业转型升级基地等参照</w:t>
      </w:r>
      <w:r>
        <w:rPr>
          <w:rStyle w:val="s31"/>
          <w:rFonts w:ascii="Arial" w:hAnsi="Arial" w:cs="Arial"/>
          <w:lang/>
        </w:rPr>
        <w:t>MO</w:t>
      </w:r>
      <w:r>
        <w:rPr>
          <w:rStyle w:val="s31"/>
          <w:rFonts w:ascii="Arial" w:hAnsi="Arial" w:cs="Arial"/>
          <w:lang/>
        </w:rPr>
        <w:t>进行管控。</w:t>
      </w:r>
    </w:p>
    <w:p w:rsidR="00D5746B" w:rsidRDefault="00D5746B" w:rsidP="00D5746B">
      <w:pPr>
        <w:pStyle w:val="p4"/>
        <w:rPr>
          <w:rFonts w:ascii="Arial" w:hAnsi="Arial" w:cs="Arial"/>
          <w:color w:val="111111"/>
          <w:lang/>
        </w:rPr>
      </w:pPr>
      <w:r>
        <w:rPr>
          <w:rStyle w:val="s31"/>
          <w:rFonts w:ascii="Arial" w:hAnsi="Arial" w:cs="Arial"/>
          <w:lang/>
        </w:rPr>
        <w:t>(</w:t>
      </w:r>
      <w:r>
        <w:rPr>
          <w:rStyle w:val="s31"/>
          <w:rFonts w:ascii="Arial" w:hAnsi="Arial" w:cs="Arial"/>
          <w:lang/>
        </w:rPr>
        <w:t>三</w:t>
      </w:r>
      <w:r>
        <w:rPr>
          <w:rStyle w:val="s31"/>
          <w:rFonts w:ascii="Arial" w:hAnsi="Arial" w:cs="Arial"/>
          <w:lang/>
        </w:rPr>
        <w:t>)</w:t>
      </w:r>
      <w:r>
        <w:rPr>
          <w:rStyle w:val="s31"/>
          <w:rFonts w:ascii="Arial" w:hAnsi="Arial" w:cs="Arial"/>
          <w:lang/>
        </w:rPr>
        <w:t>配套型住宅</w:t>
      </w:r>
      <w:r>
        <w:rPr>
          <w:rStyle w:val="s31"/>
          <w:rFonts w:ascii="Arial" w:hAnsi="Arial" w:cs="Arial"/>
          <w:lang/>
        </w:rPr>
        <w:t>(R0)</w:t>
      </w:r>
    </w:p>
    <w:p w:rsidR="00D5746B" w:rsidRDefault="00D5746B" w:rsidP="00D5746B">
      <w:pPr>
        <w:pStyle w:val="p4"/>
        <w:rPr>
          <w:rFonts w:ascii="Arial" w:hAnsi="Arial" w:cs="Arial"/>
          <w:color w:val="111111"/>
          <w:lang/>
        </w:rPr>
      </w:pPr>
      <w:r>
        <w:rPr>
          <w:rStyle w:val="s31"/>
          <w:rFonts w:ascii="Arial" w:hAnsi="Arial" w:cs="Arial"/>
          <w:lang/>
        </w:rPr>
        <w:lastRenderedPageBreak/>
        <w:t>为引导集约节约用地，配套型住宅</w:t>
      </w:r>
      <w:r>
        <w:rPr>
          <w:rStyle w:val="s31"/>
          <w:rFonts w:ascii="Arial" w:hAnsi="Arial" w:cs="Arial"/>
          <w:lang/>
        </w:rPr>
        <w:t>(R0)</w:t>
      </w:r>
      <w:r>
        <w:rPr>
          <w:rStyle w:val="s31"/>
          <w:rFonts w:ascii="Arial" w:hAnsi="Arial" w:cs="Arial"/>
          <w:lang/>
        </w:rPr>
        <w:t>用地地块容积率应按照</w:t>
      </w:r>
      <w:r>
        <w:rPr>
          <w:rStyle w:val="s31"/>
          <w:rFonts w:ascii="Arial" w:hAnsi="Arial" w:cs="Arial"/>
          <w:lang/>
        </w:rPr>
        <w:t>3.0-5.0</w:t>
      </w:r>
      <w:r>
        <w:rPr>
          <w:rStyle w:val="s31"/>
          <w:rFonts w:ascii="Arial" w:hAnsi="Arial" w:cs="Arial"/>
          <w:lang/>
        </w:rPr>
        <w:t>赋值，且符合《东莞市新型产业用地</w:t>
      </w:r>
      <w:r>
        <w:rPr>
          <w:rStyle w:val="s31"/>
          <w:rFonts w:ascii="Arial" w:hAnsi="Arial" w:cs="Arial"/>
          <w:lang/>
        </w:rPr>
        <w:t>(M0)</w:t>
      </w:r>
      <w:r>
        <w:rPr>
          <w:rStyle w:val="s31"/>
          <w:rFonts w:ascii="Arial" w:hAnsi="Arial" w:cs="Arial"/>
          <w:lang/>
        </w:rPr>
        <w:t>管理暂行办法》的规定，即</w:t>
      </w:r>
      <w:r>
        <w:rPr>
          <w:rStyle w:val="s31"/>
          <w:rFonts w:ascii="Arial" w:hAnsi="Arial" w:cs="Arial"/>
          <w:lang/>
        </w:rPr>
        <w:t>“</w:t>
      </w:r>
      <w:r>
        <w:rPr>
          <w:rStyle w:val="s31"/>
          <w:rFonts w:ascii="Arial" w:hAnsi="Arial" w:cs="Arial"/>
          <w:lang/>
        </w:rPr>
        <w:t>配套型住宅</w:t>
      </w:r>
      <w:r>
        <w:rPr>
          <w:rStyle w:val="s31"/>
          <w:rFonts w:ascii="Arial" w:hAnsi="Arial" w:cs="Arial"/>
          <w:lang/>
        </w:rPr>
        <w:t>(RO)</w:t>
      </w:r>
      <w:r>
        <w:rPr>
          <w:rStyle w:val="s31"/>
          <w:rFonts w:ascii="Arial" w:hAnsi="Arial" w:cs="Arial"/>
          <w:lang/>
        </w:rPr>
        <w:t>的计容建筑面积不得高于项目总计容建筑面积的</w:t>
      </w:r>
      <w:r>
        <w:rPr>
          <w:rStyle w:val="s31"/>
          <w:rFonts w:ascii="Arial" w:hAnsi="Arial" w:cs="Arial"/>
          <w:lang/>
        </w:rPr>
        <w:t>20%”</w:t>
      </w:r>
      <w:r>
        <w:rPr>
          <w:rStyle w:val="s31"/>
          <w:rFonts w:ascii="Arial" w:hAnsi="Arial" w:cs="Arial"/>
          <w:lang/>
        </w:rPr>
        <w:t>，配套型住宅的套型宜以小户型为主。</w:t>
      </w:r>
    </w:p>
    <w:p w:rsidR="00D5746B" w:rsidRDefault="00D5746B" w:rsidP="00D5746B">
      <w:pPr>
        <w:pStyle w:val="p4"/>
        <w:rPr>
          <w:rFonts w:ascii="Arial" w:hAnsi="Arial" w:cs="Arial"/>
          <w:color w:val="111111"/>
          <w:lang/>
        </w:rPr>
      </w:pPr>
      <w:r>
        <w:rPr>
          <w:rStyle w:val="s31"/>
          <w:rFonts w:ascii="Arial" w:hAnsi="Arial" w:cs="Arial"/>
          <w:lang/>
        </w:rPr>
        <w:t>(</w:t>
      </w:r>
      <w:r>
        <w:rPr>
          <w:rStyle w:val="s31"/>
          <w:rFonts w:ascii="Arial" w:hAnsi="Arial" w:cs="Arial"/>
          <w:lang/>
        </w:rPr>
        <w:t>四</w:t>
      </w:r>
      <w:r>
        <w:rPr>
          <w:rStyle w:val="s31"/>
          <w:rFonts w:ascii="Arial" w:hAnsi="Arial" w:cs="Arial"/>
          <w:lang/>
        </w:rPr>
        <w:t>)</w:t>
      </w:r>
      <w:r>
        <w:rPr>
          <w:rStyle w:val="s31"/>
          <w:rFonts w:ascii="Arial" w:hAnsi="Arial" w:cs="Arial"/>
          <w:lang/>
        </w:rPr>
        <w:t>其他规定</w:t>
      </w:r>
    </w:p>
    <w:p w:rsidR="00D5746B" w:rsidRDefault="00D5746B" w:rsidP="00D5746B">
      <w:pPr>
        <w:pStyle w:val="p8"/>
        <w:rPr>
          <w:rFonts w:ascii="Arial" w:hAnsi="Arial" w:cs="Arial"/>
          <w:color w:val="111111"/>
          <w:lang/>
        </w:rPr>
      </w:pPr>
      <w:r>
        <w:rPr>
          <w:rStyle w:val="s31"/>
          <w:rFonts w:ascii="Arial" w:hAnsi="Arial" w:cs="Arial"/>
          <w:lang/>
        </w:rPr>
        <w:t>本条</w:t>
      </w:r>
      <w:r>
        <w:rPr>
          <w:rStyle w:val="s31"/>
          <w:rFonts w:ascii="Arial" w:hAnsi="Arial" w:cs="Arial"/>
          <w:lang/>
        </w:rPr>
        <w:t>(</w:t>
      </w:r>
      <w:proofErr w:type="gramStart"/>
      <w:r>
        <w:rPr>
          <w:rStyle w:val="s31"/>
          <w:rFonts w:ascii="Arial" w:hAnsi="Arial" w:cs="Arial"/>
          <w:lang/>
        </w:rPr>
        <w:t>一</w:t>
      </w:r>
      <w:proofErr w:type="gramEnd"/>
      <w:r>
        <w:rPr>
          <w:rStyle w:val="s31"/>
          <w:rFonts w:ascii="Arial" w:hAnsi="Arial" w:cs="Arial"/>
          <w:lang/>
        </w:rPr>
        <w:t>)(</w:t>
      </w:r>
      <w:r>
        <w:rPr>
          <w:rStyle w:val="s31"/>
          <w:rFonts w:ascii="Arial" w:hAnsi="Arial" w:cs="Arial"/>
          <w:lang/>
        </w:rPr>
        <w:t>二</w:t>
      </w:r>
      <w:r>
        <w:rPr>
          <w:rStyle w:val="s31"/>
          <w:rFonts w:ascii="Arial" w:hAnsi="Arial" w:cs="Arial"/>
          <w:lang/>
        </w:rPr>
        <w:t>)(</w:t>
      </w:r>
      <w:r>
        <w:rPr>
          <w:rStyle w:val="s31"/>
          <w:rFonts w:ascii="Arial" w:hAnsi="Arial" w:cs="Arial"/>
          <w:lang/>
        </w:rPr>
        <w:t>三</w:t>
      </w:r>
      <w:r>
        <w:rPr>
          <w:rStyle w:val="s31"/>
          <w:rFonts w:ascii="Arial" w:hAnsi="Arial" w:cs="Arial"/>
          <w:lang/>
        </w:rPr>
        <w:t>)</w:t>
      </w:r>
      <w:r>
        <w:rPr>
          <w:rStyle w:val="s31"/>
          <w:rFonts w:ascii="Arial" w:hAnsi="Arial" w:cs="Arial"/>
          <w:lang/>
        </w:rPr>
        <w:t>款的用地，容积率采用直接赋值的，以前期研究报告阶段的容积率计算为准。</w:t>
      </w:r>
    </w:p>
    <w:bookmarkStart w:id="2" w:name="footnote_1"/>
    <w:p w:rsidR="00D5746B" w:rsidRDefault="00D5746B" w:rsidP="00D5746B">
      <w:pPr>
        <w:rPr>
          <w:rFonts w:ascii="Arial" w:hAnsi="Arial" w:cs="Arial"/>
          <w:color w:val="111111"/>
          <w:sz w:val="23"/>
          <w:szCs w:val="23"/>
          <w:lang/>
        </w:rPr>
      </w:pPr>
      <w:r>
        <w:rPr>
          <w:rFonts w:ascii="Arial" w:hAnsi="Arial" w:cs="Arial"/>
          <w:color w:val="111111"/>
          <w:sz w:val="23"/>
          <w:szCs w:val="23"/>
          <w:lang/>
        </w:rPr>
        <w:fldChar w:fldCharType="begin"/>
      </w:r>
      <w:r>
        <w:rPr>
          <w:rFonts w:ascii="Arial" w:hAnsi="Arial" w:cs="Arial"/>
          <w:color w:val="111111"/>
          <w:sz w:val="23"/>
          <w:szCs w:val="23"/>
          <w:lang/>
        </w:rPr>
        <w:instrText xml:space="preserve"> HYPERLINK "" \l "footnote_back_1" </w:instrText>
      </w:r>
      <w:r>
        <w:rPr>
          <w:rFonts w:ascii="Arial" w:hAnsi="Arial" w:cs="Arial"/>
          <w:color w:val="111111"/>
          <w:sz w:val="23"/>
          <w:szCs w:val="23"/>
          <w:lang/>
        </w:rPr>
        <w:fldChar w:fldCharType="separate"/>
      </w:r>
      <w:r>
        <w:rPr>
          <w:rStyle w:val="a3"/>
          <w:rFonts w:ascii="Arial" w:hAnsi="Arial" w:cs="Arial"/>
          <w:sz w:val="20"/>
          <w:szCs w:val="20"/>
          <w:vertAlign w:val="superscript"/>
          <w:lang/>
        </w:rPr>
        <w:t>1</w:t>
      </w:r>
      <w:r>
        <w:rPr>
          <w:rFonts w:ascii="Arial" w:hAnsi="Arial" w:cs="Arial"/>
          <w:color w:val="111111"/>
          <w:sz w:val="23"/>
          <w:szCs w:val="23"/>
          <w:lang/>
        </w:rPr>
        <w:fldChar w:fldCharType="end"/>
      </w:r>
      <w:bookmarkEnd w:id="2"/>
      <w:r>
        <w:rPr>
          <w:rFonts w:ascii="Arial" w:hAnsi="Arial" w:cs="Arial"/>
          <w:color w:val="111111"/>
          <w:sz w:val="23"/>
          <w:szCs w:val="23"/>
          <w:lang/>
        </w:rPr>
        <w:t xml:space="preserve"> </w:t>
      </w:r>
      <w:r>
        <w:rPr>
          <w:rStyle w:val="s51"/>
          <w:rFonts w:ascii="Arial" w:hAnsi="Arial" w:cs="Arial"/>
          <w:lang/>
        </w:rPr>
        <w:t>此处的旧城、旧村宅基地建筑量补偿标准并非拆迁阶段</w:t>
      </w:r>
      <w:proofErr w:type="gramStart"/>
      <w:r>
        <w:rPr>
          <w:rStyle w:val="s51"/>
          <w:rFonts w:ascii="Arial" w:hAnsi="Arial" w:cs="Arial"/>
          <w:lang/>
        </w:rPr>
        <w:t>的拆赔标准</w:t>
      </w:r>
      <w:proofErr w:type="gramEnd"/>
      <w:r>
        <w:rPr>
          <w:rStyle w:val="s51"/>
          <w:rFonts w:ascii="Arial" w:hAnsi="Arial" w:cs="Arial"/>
          <w:lang/>
        </w:rPr>
        <w:t>。</w:t>
      </w:r>
    </w:p>
    <w:p w:rsidR="00913365" w:rsidRPr="00D5746B" w:rsidRDefault="00913365">
      <w:pPr>
        <w:rPr>
          <w:lang/>
        </w:rPr>
      </w:pPr>
    </w:p>
    <w:sectPr w:rsidR="00913365" w:rsidRPr="00D5746B" w:rsidSect="0091336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5746B"/>
    <w:rsid w:val="00913365"/>
    <w:rsid w:val="00D574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46B"/>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5746B"/>
    <w:rPr>
      <w:strike w:val="0"/>
      <w:dstrike w:val="0"/>
      <w:color w:val="428BCA"/>
      <w:u w:val="none"/>
      <w:effect w:val="none"/>
      <w:shd w:val="clear" w:color="auto" w:fill="auto"/>
    </w:rPr>
  </w:style>
  <w:style w:type="paragraph" w:customStyle="1" w:styleId="p1">
    <w:name w:val="p1"/>
    <w:basedOn w:val="a"/>
    <w:rsid w:val="00D5746B"/>
    <w:pPr>
      <w:spacing w:after="167"/>
      <w:jc w:val="center"/>
    </w:pPr>
    <w:rPr>
      <w:sz w:val="36"/>
      <w:szCs w:val="36"/>
    </w:rPr>
  </w:style>
  <w:style w:type="paragraph" w:customStyle="1" w:styleId="p3">
    <w:name w:val="p3"/>
    <w:basedOn w:val="a"/>
    <w:rsid w:val="00D5746B"/>
    <w:pPr>
      <w:spacing w:before="75" w:after="167"/>
      <w:jc w:val="center"/>
    </w:pPr>
    <w:rPr>
      <w:sz w:val="28"/>
      <w:szCs w:val="28"/>
    </w:rPr>
  </w:style>
  <w:style w:type="paragraph" w:customStyle="1" w:styleId="p4">
    <w:name w:val="p4"/>
    <w:basedOn w:val="a"/>
    <w:rsid w:val="00D5746B"/>
    <w:pPr>
      <w:spacing w:before="75" w:after="167"/>
      <w:ind w:firstLine="480"/>
    </w:pPr>
    <w:rPr>
      <w:sz w:val="28"/>
      <w:szCs w:val="28"/>
    </w:rPr>
  </w:style>
  <w:style w:type="paragraph" w:customStyle="1" w:styleId="p5">
    <w:name w:val="p5"/>
    <w:basedOn w:val="a"/>
    <w:rsid w:val="00D5746B"/>
    <w:pPr>
      <w:spacing w:before="75" w:after="239"/>
      <w:ind w:firstLine="480"/>
    </w:pPr>
    <w:rPr>
      <w:sz w:val="28"/>
      <w:szCs w:val="28"/>
    </w:rPr>
  </w:style>
  <w:style w:type="paragraph" w:customStyle="1" w:styleId="p6">
    <w:name w:val="p6"/>
    <w:basedOn w:val="a"/>
    <w:rsid w:val="00D5746B"/>
    <w:pPr>
      <w:spacing w:before="75" w:after="167"/>
      <w:ind w:firstLine="480"/>
      <w:jc w:val="center"/>
    </w:pPr>
    <w:rPr>
      <w:sz w:val="28"/>
      <w:szCs w:val="28"/>
    </w:rPr>
  </w:style>
  <w:style w:type="paragraph" w:customStyle="1" w:styleId="p7">
    <w:name w:val="p7"/>
    <w:basedOn w:val="a"/>
    <w:rsid w:val="00D5746B"/>
    <w:pPr>
      <w:spacing w:before="75" w:after="239"/>
      <w:jc w:val="center"/>
    </w:pPr>
    <w:rPr>
      <w:sz w:val="28"/>
      <w:szCs w:val="28"/>
    </w:rPr>
  </w:style>
  <w:style w:type="paragraph" w:customStyle="1" w:styleId="p8">
    <w:name w:val="p8"/>
    <w:basedOn w:val="a"/>
    <w:rsid w:val="00D5746B"/>
    <w:pPr>
      <w:spacing w:after="167"/>
      <w:jc w:val="both"/>
    </w:pPr>
    <w:rPr>
      <w:sz w:val="28"/>
      <w:szCs w:val="28"/>
    </w:rPr>
  </w:style>
  <w:style w:type="character" w:customStyle="1" w:styleId="s11">
    <w:name w:val="s11"/>
    <w:basedOn w:val="a0"/>
    <w:rsid w:val="00D5746B"/>
    <w:rPr>
      <w:b/>
      <w:bCs/>
    </w:rPr>
  </w:style>
  <w:style w:type="character" w:customStyle="1" w:styleId="s21">
    <w:name w:val="s21"/>
    <w:basedOn w:val="a0"/>
    <w:rsid w:val="00D5746B"/>
    <w:rPr>
      <w:b/>
      <w:bCs/>
      <w:color w:val="000000"/>
    </w:rPr>
  </w:style>
  <w:style w:type="character" w:customStyle="1" w:styleId="s31">
    <w:name w:val="s31"/>
    <w:basedOn w:val="a0"/>
    <w:rsid w:val="00D5746B"/>
    <w:rPr>
      <w:color w:val="000000"/>
    </w:rPr>
  </w:style>
  <w:style w:type="character" w:customStyle="1" w:styleId="s51">
    <w:name w:val="s51"/>
    <w:basedOn w:val="a0"/>
    <w:rsid w:val="00D5746B"/>
    <w:rPr>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830</Words>
  <Characters>4733</Characters>
  <Application>Microsoft Office Word</Application>
  <DocSecurity>0</DocSecurity>
  <Lines>39</Lines>
  <Paragraphs>11</Paragraphs>
  <ScaleCrop>false</ScaleCrop>
  <Company/>
  <LinksUpToDate>false</LinksUpToDate>
  <CharactersWithSpaces>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2020-07-22T03:20:00Z</dcterms:created>
  <dcterms:modified xsi:type="dcterms:W3CDTF">2020-07-22T03:20:00Z</dcterms:modified>
</cp:coreProperties>
</file>